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0E0" w:rsidRPr="004D00E0" w:rsidRDefault="004D00E0" w:rsidP="00E31F36">
      <w:pPr>
        <w:pStyle w:val="doc-ti"/>
        <w:shd w:val="clear" w:color="auto" w:fill="FFFFFF"/>
        <w:spacing w:before="240" w:after="120" w:line="312" w:lineRule="atLeast"/>
        <w:jc w:val="center"/>
        <w:textAlignment w:val="baseline"/>
        <w:rPr>
          <w:rFonts w:asciiTheme="minorHAnsi" w:hAnsiTheme="minorHAnsi"/>
          <w:b/>
          <w:bCs/>
          <w:color w:val="444444"/>
          <w:lang w:val="bs-Cyrl-BA"/>
        </w:rPr>
      </w:pPr>
      <w:bookmarkStart w:id="0" w:name="_GoBack"/>
      <w:bookmarkEnd w:id="0"/>
      <w:r w:rsidRPr="004D00E0">
        <w:rPr>
          <w:rFonts w:asciiTheme="minorHAnsi" w:hAnsiTheme="minorHAnsi"/>
          <w:b/>
          <w:bCs/>
          <w:color w:val="444444"/>
          <w:lang w:val="bs-Cyrl-BA"/>
        </w:rPr>
        <w:t>ODLUKA VIJEĆA (ZVSP) 2017/1428</w:t>
      </w:r>
      <w:r w:rsidR="00905927">
        <w:rPr>
          <w:rFonts w:asciiTheme="minorHAnsi" w:hAnsiTheme="minorHAnsi"/>
          <w:b/>
          <w:bCs/>
          <w:color w:val="444444"/>
          <w:lang w:val="en-US"/>
        </w:rPr>
        <w:t xml:space="preserve"> </w:t>
      </w:r>
      <w:r w:rsidRPr="004D00E0">
        <w:rPr>
          <w:rFonts w:asciiTheme="minorHAnsi" w:hAnsiTheme="minorHAnsi"/>
          <w:b/>
          <w:bCs/>
          <w:color w:val="444444"/>
          <w:lang w:val="bs-Cyrl-BA"/>
        </w:rPr>
        <w:t xml:space="preserve">od 4. </w:t>
      </w:r>
      <w:proofErr w:type="spellStart"/>
      <w:proofErr w:type="gramStart"/>
      <w:r w:rsidR="00905927">
        <w:rPr>
          <w:rFonts w:asciiTheme="minorHAnsi" w:hAnsiTheme="minorHAnsi"/>
          <w:b/>
          <w:bCs/>
          <w:color w:val="444444"/>
          <w:lang w:val="en-US"/>
        </w:rPr>
        <w:t>augusta</w:t>
      </w:r>
      <w:proofErr w:type="spellEnd"/>
      <w:proofErr w:type="gramEnd"/>
      <w:r w:rsidRPr="004D00E0">
        <w:rPr>
          <w:rFonts w:asciiTheme="minorHAnsi" w:hAnsiTheme="minorHAnsi"/>
          <w:b/>
          <w:bCs/>
          <w:color w:val="444444"/>
          <w:lang w:val="bs-Cyrl-BA"/>
        </w:rPr>
        <w:t xml:space="preserve"> 2017.</w:t>
      </w:r>
    </w:p>
    <w:p w:rsidR="00235940" w:rsidRPr="006A50AA" w:rsidRDefault="004D00E0" w:rsidP="00E31F36">
      <w:pPr>
        <w:pStyle w:val="doc-ti"/>
        <w:shd w:val="clear" w:color="auto" w:fill="FFFFFF"/>
        <w:spacing w:before="240" w:after="120" w:line="312" w:lineRule="atLeast"/>
        <w:jc w:val="center"/>
        <w:textAlignment w:val="baseline"/>
        <w:rPr>
          <w:rFonts w:asciiTheme="minorHAnsi" w:hAnsiTheme="minorHAnsi"/>
          <w:b/>
          <w:bCs/>
          <w:color w:val="444444"/>
          <w:lang w:val="bs-Cyrl-BA"/>
        </w:rPr>
      </w:pPr>
      <w:r w:rsidRPr="004D00E0">
        <w:rPr>
          <w:rFonts w:asciiTheme="minorHAnsi" w:hAnsiTheme="minorHAnsi"/>
          <w:b/>
          <w:bCs/>
          <w:color w:val="444444"/>
          <w:lang w:val="bs-Cyrl-BA"/>
        </w:rPr>
        <w:t>u po</w:t>
      </w:r>
      <w:proofErr w:type="spellStart"/>
      <w:r w:rsidR="00905927">
        <w:rPr>
          <w:rFonts w:asciiTheme="minorHAnsi" w:hAnsiTheme="minorHAnsi"/>
          <w:b/>
          <w:bCs/>
          <w:color w:val="444444"/>
          <w:lang w:val="en-US"/>
        </w:rPr>
        <w:t>dršci</w:t>
      </w:r>
      <w:proofErr w:type="spellEnd"/>
      <w:r w:rsidRPr="004D00E0">
        <w:rPr>
          <w:rFonts w:asciiTheme="minorHAnsi" w:hAnsiTheme="minorHAnsi"/>
          <w:b/>
          <w:bCs/>
          <w:color w:val="444444"/>
          <w:lang w:val="bs-Cyrl-BA"/>
        </w:rPr>
        <w:t xml:space="preserve"> provedb</w:t>
      </w:r>
      <w:r w:rsidR="00905927">
        <w:rPr>
          <w:rFonts w:asciiTheme="minorHAnsi" w:hAnsiTheme="minorHAnsi"/>
          <w:b/>
          <w:bCs/>
          <w:color w:val="444444"/>
          <w:lang w:val="en-US"/>
        </w:rPr>
        <w:t xml:space="preserve">e </w:t>
      </w:r>
      <w:r w:rsidRPr="004D00E0">
        <w:rPr>
          <w:rFonts w:asciiTheme="minorHAnsi" w:hAnsiTheme="minorHAnsi"/>
          <w:b/>
          <w:bCs/>
          <w:color w:val="444444"/>
          <w:lang w:val="bs-Cyrl-BA"/>
        </w:rPr>
        <w:t>Konvencije o zabrani upo</w:t>
      </w:r>
      <w:proofErr w:type="spellStart"/>
      <w:r w:rsidR="00905927">
        <w:rPr>
          <w:rFonts w:asciiTheme="minorHAnsi" w:hAnsiTheme="minorHAnsi"/>
          <w:b/>
          <w:bCs/>
          <w:color w:val="444444"/>
          <w:lang w:val="en-US"/>
        </w:rPr>
        <w:t>trebe</w:t>
      </w:r>
      <w:proofErr w:type="spellEnd"/>
      <w:r w:rsidR="00905927">
        <w:rPr>
          <w:rFonts w:asciiTheme="minorHAnsi" w:hAnsiTheme="minorHAnsi"/>
          <w:b/>
          <w:bCs/>
          <w:color w:val="444444"/>
          <w:lang w:val="en-US"/>
        </w:rPr>
        <w:t xml:space="preserve">, </w:t>
      </w:r>
      <w:r w:rsidRPr="004D00E0">
        <w:rPr>
          <w:rFonts w:asciiTheme="minorHAnsi" w:hAnsiTheme="minorHAnsi"/>
          <w:b/>
          <w:bCs/>
          <w:color w:val="444444"/>
          <w:lang w:val="bs-Cyrl-BA"/>
        </w:rPr>
        <w:t>stvaranja zaliha, proizvodnje i prenosa protupješa</w:t>
      </w:r>
      <w:proofErr w:type="spellStart"/>
      <w:r w:rsidR="00AF2641">
        <w:rPr>
          <w:rFonts w:asciiTheme="minorHAnsi" w:hAnsiTheme="minorHAnsi"/>
          <w:b/>
          <w:bCs/>
          <w:color w:val="444444"/>
          <w:lang w:val="en-US"/>
        </w:rPr>
        <w:t>dijskih</w:t>
      </w:r>
      <w:proofErr w:type="spellEnd"/>
      <w:r w:rsidR="00AF2641">
        <w:rPr>
          <w:rFonts w:asciiTheme="minorHAnsi" w:hAnsiTheme="minorHAnsi"/>
          <w:b/>
          <w:bCs/>
          <w:color w:val="444444"/>
          <w:lang w:val="en-US"/>
        </w:rPr>
        <w:t xml:space="preserve"> </w:t>
      </w:r>
      <w:r w:rsidRPr="004D00E0">
        <w:rPr>
          <w:rFonts w:asciiTheme="minorHAnsi" w:hAnsiTheme="minorHAnsi"/>
          <w:b/>
          <w:bCs/>
          <w:color w:val="444444"/>
          <w:lang w:val="bs-Cyrl-BA"/>
        </w:rPr>
        <w:t>mina i o njihov</w:t>
      </w:r>
      <w:r w:rsidR="00905927">
        <w:rPr>
          <w:rFonts w:asciiTheme="minorHAnsi" w:hAnsiTheme="minorHAnsi"/>
          <w:b/>
          <w:bCs/>
          <w:color w:val="444444"/>
          <w:lang w:val="en-US"/>
        </w:rPr>
        <w:t>om</w:t>
      </w:r>
      <w:r w:rsidRPr="004D00E0">
        <w:rPr>
          <w:rFonts w:asciiTheme="minorHAnsi" w:hAnsiTheme="minorHAnsi"/>
          <w:b/>
          <w:bCs/>
          <w:color w:val="444444"/>
          <w:lang w:val="bs-Cyrl-BA"/>
        </w:rPr>
        <w:t xml:space="preserve"> uništenju</w:t>
      </w:r>
      <w:r w:rsidR="004C5196" w:rsidRPr="006A50AA">
        <w:rPr>
          <w:rFonts w:asciiTheme="minorHAnsi" w:hAnsiTheme="minorHAnsi"/>
          <w:b/>
          <w:bCs/>
          <w:color w:val="444444"/>
          <w:lang w:val="bs-Cyrl-BA"/>
        </w:rPr>
        <w:br/>
      </w:r>
    </w:p>
    <w:p w:rsidR="006A50AA" w:rsidRPr="004D00E0" w:rsidRDefault="006A50AA" w:rsidP="00E31F36">
      <w:pPr>
        <w:jc w:val="both"/>
        <w:rPr>
          <w:rFonts w:eastAsia="Times New Roman" w:cs="Times New Roman"/>
          <w:b/>
          <w:bCs/>
          <w:color w:val="444444"/>
          <w:lang w:val="bs-Cyrl-BA" w:eastAsia="fr-CH"/>
        </w:rPr>
      </w:pPr>
      <w:r w:rsidRPr="004D00E0">
        <w:rPr>
          <w:rFonts w:eastAsia="Times New Roman" w:cs="Times New Roman"/>
          <w:b/>
          <w:bCs/>
          <w:color w:val="444444"/>
          <w:lang w:val="bs-Cyrl-BA" w:eastAsia="fr-CH"/>
        </w:rPr>
        <w:t>VIJEĆE E</w:t>
      </w:r>
      <w:r w:rsidR="001B256B">
        <w:rPr>
          <w:rFonts w:eastAsia="Times New Roman" w:cs="Times New Roman"/>
          <w:b/>
          <w:bCs/>
          <w:color w:val="444444"/>
          <w:lang w:val="en-US" w:eastAsia="fr-CH"/>
        </w:rPr>
        <w:t>V</w:t>
      </w:r>
      <w:r w:rsidRPr="004D00E0">
        <w:rPr>
          <w:rFonts w:eastAsia="Times New Roman" w:cs="Times New Roman"/>
          <w:b/>
          <w:bCs/>
          <w:color w:val="444444"/>
          <w:lang w:val="bs-Cyrl-BA" w:eastAsia="fr-CH"/>
        </w:rPr>
        <w:t>ROPSKE UNIJE,</w:t>
      </w:r>
    </w:p>
    <w:p w:rsidR="004D00E0" w:rsidRDefault="006A50AA" w:rsidP="00E31F36">
      <w:pPr>
        <w:jc w:val="both"/>
        <w:rPr>
          <w:rFonts w:eastAsia="Times New Roman" w:cs="Times New Roman"/>
          <w:color w:val="444444"/>
          <w:lang w:val="fr-CH" w:eastAsia="fr-CH"/>
        </w:rPr>
      </w:pPr>
      <w:r w:rsidRPr="006A50AA">
        <w:rPr>
          <w:rFonts w:eastAsia="Times New Roman" w:cs="Times New Roman"/>
          <w:color w:val="444444"/>
          <w:lang w:val="bs-Cyrl-BA" w:eastAsia="fr-CH"/>
        </w:rPr>
        <w:t>uzimajući u obzir Ugovor o E</w:t>
      </w:r>
      <w:r w:rsidR="00905927">
        <w:rPr>
          <w:rFonts w:eastAsia="Times New Roman" w:cs="Times New Roman"/>
          <w:color w:val="444444"/>
          <w:lang w:val="en-US" w:eastAsia="fr-CH"/>
        </w:rPr>
        <w:t>v</w:t>
      </w:r>
      <w:r w:rsidRPr="006A50AA">
        <w:rPr>
          <w:rFonts w:eastAsia="Times New Roman" w:cs="Times New Roman"/>
          <w:color w:val="444444"/>
          <w:lang w:val="bs-Cyrl-BA" w:eastAsia="fr-CH"/>
        </w:rPr>
        <w:t>ropskoj uniji, a posebno njegov član 28. i član 31. stav 1.,</w:t>
      </w:r>
    </w:p>
    <w:p w:rsidR="006A50AA" w:rsidRPr="006A50AA" w:rsidRDefault="006A50AA" w:rsidP="00E31F36">
      <w:pPr>
        <w:jc w:val="both"/>
        <w:rPr>
          <w:rFonts w:eastAsia="Times New Roman" w:cs="Times New Roman"/>
          <w:color w:val="444444"/>
          <w:lang w:val="bs-Cyrl-BA" w:eastAsia="fr-CH"/>
        </w:rPr>
      </w:pPr>
      <w:r w:rsidRPr="006A50AA">
        <w:rPr>
          <w:rFonts w:eastAsia="Times New Roman" w:cs="Times New Roman"/>
          <w:color w:val="444444"/>
          <w:lang w:val="bs-Cyrl-BA" w:eastAsia="fr-CH"/>
        </w:rPr>
        <w:t>uzimajući u obzir prijedlog Visokog predstavnika Unije za vanjske poslove i sigurnosnu politiku,</w:t>
      </w:r>
    </w:p>
    <w:p w:rsidR="006A50AA" w:rsidRPr="006A50AA" w:rsidRDefault="006A50AA" w:rsidP="00E31F36">
      <w:pPr>
        <w:jc w:val="both"/>
        <w:rPr>
          <w:rFonts w:eastAsia="Times New Roman" w:cs="Times New Roman"/>
          <w:color w:val="444444"/>
          <w:lang w:val="bs-Cyrl-BA" w:eastAsia="fr-CH"/>
        </w:rPr>
      </w:pPr>
      <w:r w:rsidRPr="006A50AA">
        <w:rPr>
          <w:rFonts w:eastAsia="Times New Roman" w:cs="Times New Roman"/>
          <w:color w:val="444444"/>
          <w:lang w:val="bs-Cyrl-BA" w:eastAsia="fr-CH"/>
        </w:rPr>
        <w:t>budući da:</w:t>
      </w:r>
    </w:p>
    <w:p w:rsidR="006A50AA" w:rsidRPr="004D00E0" w:rsidRDefault="00933E51" w:rsidP="00E31F36">
      <w:pPr>
        <w:jc w:val="both"/>
        <w:rPr>
          <w:rFonts w:eastAsia="Times New Roman" w:cs="Times New Roman"/>
          <w:color w:val="444444"/>
          <w:lang w:val="bs-Cyrl-BA" w:eastAsia="fr-CH"/>
        </w:rPr>
      </w:pPr>
      <w:r>
        <w:rPr>
          <w:rFonts w:eastAsia="Times New Roman" w:cs="Times New Roman"/>
          <w:color w:val="444444"/>
          <w:lang w:val="bs-Cyrl-BA" w:eastAsia="fr-CH"/>
        </w:rPr>
        <w:t>(1) E</w:t>
      </w:r>
      <w:r>
        <w:rPr>
          <w:rFonts w:eastAsia="Times New Roman" w:cs="Times New Roman"/>
          <w:color w:val="444444"/>
          <w:lang w:val="en-US" w:eastAsia="fr-CH"/>
        </w:rPr>
        <w:t>v</w:t>
      </w:r>
      <w:r w:rsidR="006A50AA" w:rsidRPr="006A50AA">
        <w:rPr>
          <w:rFonts w:eastAsia="Times New Roman" w:cs="Times New Roman"/>
          <w:color w:val="444444"/>
          <w:lang w:val="bs-Cyrl-BA" w:eastAsia="fr-CH"/>
        </w:rPr>
        <w:t xml:space="preserve">ropska unija </w:t>
      </w:r>
      <w:r w:rsidR="009B366D">
        <w:rPr>
          <w:rFonts w:eastAsia="Times New Roman" w:cs="Times New Roman"/>
          <w:color w:val="444444"/>
          <w:lang w:val="en-US" w:eastAsia="fr-CH"/>
        </w:rPr>
        <w:t xml:space="preserve">bi </w:t>
      </w:r>
      <w:r w:rsidR="006A50AA" w:rsidRPr="006A50AA">
        <w:rPr>
          <w:rFonts w:eastAsia="Times New Roman" w:cs="Times New Roman"/>
          <w:color w:val="444444"/>
          <w:lang w:val="bs-Cyrl-BA" w:eastAsia="fr-CH"/>
        </w:rPr>
        <w:t>trebala nastojati ostvariti visok st</w:t>
      </w:r>
      <w:proofErr w:type="spellStart"/>
      <w:r>
        <w:rPr>
          <w:rFonts w:eastAsia="Times New Roman" w:cs="Times New Roman"/>
          <w:color w:val="444444"/>
          <w:lang w:val="en-US" w:eastAsia="fr-CH"/>
        </w:rPr>
        <w:t>epen</w:t>
      </w:r>
      <w:proofErr w:type="spellEnd"/>
      <w:r>
        <w:rPr>
          <w:rFonts w:eastAsia="Times New Roman" w:cs="Times New Roman"/>
          <w:color w:val="444444"/>
          <w:lang w:val="bs-Cyrl-BA" w:eastAsia="fr-CH"/>
        </w:rPr>
        <w:t xml:space="preserve"> s</w:t>
      </w:r>
      <w:r>
        <w:rPr>
          <w:rFonts w:eastAsia="Times New Roman" w:cs="Times New Roman"/>
          <w:color w:val="444444"/>
          <w:lang w:val="en-US" w:eastAsia="fr-CH"/>
        </w:rPr>
        <w:t>a</w:t>
      </w:r>
      <w:r w:rsidR="006A50AA" w:rsidRPr="006A50AA">
        <w:rPr>
          <w:rFonts w:eastAsia="Times New Roman" w:cs="Times New Roman"/>
          <w:color w:val="444444"/>
          <w:lang w:val="bs-Cyrl-BA" w:eastAsia="fr-CH"/>
        </w:rPr>
        <w:t>radnje u svim područjima međunarodnih odnosa</w:t>
      </w:r>
      <w:r>
        <w:rPr>
          <w:rFonts w:eastAsia="Times New Roman" w:cs="Times New Roman"/>
          <w:color w:val="444444"/>
          <w:lang w:val="en-US" w:eastAsia="fr-CH"/>
        </w:rPr>
        <w:t xml:space="preserve"> </w:t>
      </w:r>
      <w:r w:rsidR="00E2507D">
        <w:rPr>
          <w:rFonts w:eastAsia="Times New Roman" w:cs="Times New Roman"/>
          <w:color w:val="444444"/>
          <w:lang w:val="bs-Cyrl-BA" w:eastAsia="fr-CH"/>
        </w:rPr>
        <w:t>kako</w:t>
      </w:r>
      <w:r>
        <w:rPr>
          <w:rFonts w:eastAsia="Times New Roman" w:cs="Times New Roman"/>
          <w:color w:val="444444"/>
          <w:lang w:val="en-US" w:eastAsia="fr-CH"/>
        </w:rPr>
        <w:t xml:space="preserve"> </w:t>
      </w:r>
      <w:r w:rsidR="006A50AA" w:rsidRPr="006A50AA">
        <w:rPr>
          <w:rFonts w:eastAsia="Times New Roman" w:cs="Times New Roman"/>
          <w:color w:val="444444"/>
          <w:lang w:val="bs-Cyrl-BA" w:eastAsia="fr-CH"/>
        </w:rPr>
        <w:t xml:space="preserve">bi, </w:t>
      </w:r>
      <w:proofErr w:type="spellStart"/>
      <w:r>
        <w:rPr>
          <w:rFonts w:eastAsia="Times New Roman" w:cs="Times New Roman"/>
          <w:color w:val="444444"/>
          <w:lang w:val="en-US" w:eastAsia="fr-CH"/>
        </w:rPr>
        <w:t>iz</w:t>
      </w:r>
      <w:proofErr w:type="spellEnd"/>
      <w:r w:rsidR="006A50AA" w:rsidRPr="006A50AA">
        <w:rPr>
          <w:rFonts w:eastAsia="Times New Roman" w:cs="Times New Roman"/>
          <w:color w:val="444444"/>
          <w:lang w:val="bs-Cyrl-BA" w:eastAsia="fr-CH"/>
        </w:rPr>
        <w:t>među ostal</w:t>
      </w:r>
      <w:proofErr w:type="spellStart"/>
      <w:r>
        <w:rPr>
          <w:rFonts w:eastAsia="Times New Roman" w:cs="Times New Roman"/>
          <w:color w:val="444444"/>
          <w:lang w:val="en-US" w:eastAsia="fr-CH"/>
        </w:rPr>
        <w:t>og</w:t>
      </w:r>
      <w:proofErr w:type="spellEnd"/>
      <w:r w:rsidR="006A50AA" w:rsidRPr="006A50AA">
        <w:rPr>
          <w:rFonts w:eastAsia="Times New Roman" w:cs="Times New Roman"/>
          <w:color w:val="444444"/>
          <w:lang w:val="bs-Cyrl-BA" w:eastAsia="fr-CH"/>
        </w:rPr>
        <w:t>, očuvala mir, spriječila sukobe i ojačala međunarodnu sigurnost u skladu sa svrhama</w:t>
      </w:r>
      <w:r>
        <w:rPr>
          <w:rFonts w:eastAsia="Times New Roman" w:cs="Times New Roman"/>
          <w:color w:val="444444"/>
          <w:lang w:val="en-US" w:eastAsia="fr-CH"/>
        </w:rPr>
        <w:t xml:space="preserve"> </w:t>
      </w:r>
      <w:r w:rsidR="00E2507D">
        <w:rPr>
          <w:rFonts w:eastAsia="Times New Roman" w:cs="Times New Roman"/>
          <w:color w:val="444444"/>
          <w:lang w:val="bs-Cyrl-BA" w:eastAsia="fr-CH"/>
        </w:rPr>
        <w:t xml:space="preserve">i </w:t>
      </w:r>
      <w:proofErr w:type="spellStart"/>
      <w:r>
        <w:rPr>
          <w:rFonts w:eastAsia="Times New Roman" w:cs="Times New Roman"/>
          <w:color w:val="444444"/>
          <w:lang w:val="en-US" w:eastAsia="fr-CH"/>
        </w:rPr>
        <w:t>principima</w:t>
      </w:r>
      <w:proofErr w:type="spellEnd"/>
      <w:r>
        <w:rPr>
          <w:rFonts w:eastAsia="Times New Roman" w:cs="Times New Roman"/>
          <w:color w:val="444444"/>
          <w:lang w:val="en-US" w:eastAsia="fr-CH"/>
        </w:rPr>
        <w:t xml:space="preserve"> </w:t>
      </w:r>
      <w:r w:rsidR="006A50AA" w:rsidRPr="006A50AA">
        <w:rPr>
          <w:rFonts w:eastAsia="Times New Roman" w:cs="Times New Roman"/>
          <w:color w:val="444444"/>
          <w:lang w:val="bs-Cyrl-BA" w:eastAsia="fr-CH"/>
        </w:rPr>
        <w:t>Povelje Ujedinjenih naroda.</w:t>
      </w:r>
    </w:p>
    <w:p w:rsidR="006A50AA" w:rsidRPr="006A50AA" w:rsidRDefault="006A50AA" w:rsidP="00E31F36">
      <w:pPr>
        <w:jc w:val="both"/>
        <w:rPr>
          <w:rFonts w:eastAsia="Times New Roman" w:cs="Times New Roman"/>
          <w:color w:val="444444"/>
          <w:lang w:val="bs-Cyrl-BA" w:eastAsia="fr-CH"/>
        </w:rPr>
      </w:pPr>
      <w:r w:rsidRPr="006A50AA">
        <w:rPr>
          <w:rFonts w:eastAsia="Times New Roman" w:cs="Times New Roman"/>
          <w:color w:val="444444"/>
          <w:lang w:val="bs-Cyrl-BA" w:eastAsia="fr-CH"/>
        </w:rPr>
        <w:t>(2) E</w:t>
      </w:r>
      <w:r w:rsidR="00933E51">
        <w:rPr>
          <w:rFonts w:eastAsia="Times New Roman" w:cs="Times New Roman"/>
          <w:color w:val="444444"/>
          <w:lang w:val="en-US" w:eastAsia="fr-CH"/>
        </w:rPr>
        <w:t>v</w:t>
      </w:r>
      <w:r w:rsidRPr="006A50AA">
        <w:rPr>
          <w:rFonts w:eastAsia="Times New Roman" w:cs="Times New Roman"/>
          <w:color w:val="444444"/>
          <w:lang w:val="bs-Cyrl-BA" w:eastAsia="fr-CH"/>
        </w:rPr>
        <w:t xml:space="preserve">ropsko vijeće </w:t>
      </w:r>
      <w:r w:rsidR="009B366D">
        <w:rPr>
          <w:rFonts w:eastAsia="Times New Roman" w:cs="Times New Roman"/>
          <w:color w:val="444444"/>
          <w:lang w:val="en-US" w:eastAsia="fr-CH"/>
        </w:rPr>
        <w:t xml:space="preserve">je </w:t>
      </w:r>
      <w:r w:rsidRPr="006A50AA">
        <w:rPr>
          <w:rFonts w:eastAsia="Times New Roman" w:cs="Times New Roman"/>
          <w:color w:val="444444"/>
          <w:lang w:val="bs-Cyrl-BA" w:eastAsia="fr-CH"/>
        </w:rPr>
        <w:t xml:space="preserve">12. </w:t>
      </w:r>
      <w:proofErr w:type="spellStart"/>
      <w:proofErr w:type="gramStart"/>
      <w:r w:rsidR="003C4141">
        <w:rPr>
          <w:rFonts w:eastAsia="Times New Roman" w:cs="Times New Roman"/>
          <w:color w:val="444444"/>
          <w:lang w:val="en-US" w:eastAsia="fr-CH"/>
        </w:rPr>
        <w:t>decembra</w:t>
      </w:r>
      <w:proofErr w:type="spellEnd"/>
      <w:proofErr w:type="gramEnd"/>
      <w:r w:rsidRPr="006A50AA">
        <w:rPr>
          <w:rFonts w:eastAsia="Times New Roman" w:cs="Times New Roman"/>
          <w:color w:val="444444"/>
          <w:lang w:val="bs-Cyrl-BA" w:eastAsia="fr-CH"/>
        </w:rPr>
        <w:t xml:space="preserve"> 2003.</w:t>
      </w:r>
      <w:r w:rsidR="009B366D">
        <w:rPr>
          <w:rFonts w:eastAsia="Times New Roman" w:cs="Times New Roman"/>
          <w:color w:val="444444"/>
          <w:lang w:val="en-US" w:eastAsia="fr-CH"/>
        </w:rPr>
        <w:t xml:space="preserve"> </w:t>
      </w:r>
      <w:proofErr w:type="spellStart"/>
      <w:proofErr w:type="gramStart"/>
      <w:r w:rsidR="009B366D">
        <w:rPr>
          <w:rFonts w:eastAsia="Times New Roman" w:cs="Times New Roman"/>
          <w:color w:val="444444"/>
          <w:lang w:val="en-US" w:eastAsia="fr-CH"/>
        </w:rPr>
        <w:t>donijelo</w:t>
      </w:r>
      <w:proofErr w:type="spellEnd"/>
      <w:proofErr w:type="gramEnd"/>
      <w:r w:rsidRPr="006A50AA">
        <w:rPr>
          <w:rFonts w:eastAsia="Times New Roman" w:cs="Times New Roman"/>
          <w:color w:val="444444"/>
          <w:lang w:val="bs-Cyrl-BA" w:eastAsia="fr-CH"/>
        </w:rPr>
        <w:t xml:space="preserve"> E</w:t>
      </w:r>
      <w:r w:rsidR="003C4141">
        <w:rPr>
          <w:rFonts w:eastAsia="Times New Roman" w:cs="Times New Roman"/>
          <w:color w:val="444444"/>
          <w:lang w:val="en-US" w:eastAsia="fr-CH"/>
        </w:rPr>
        <w:t>v</w:t>
      </w:r>
      <w:r w:rsidRPr="006A50AA">
        <w:rPr>
          <w:rFonts w:eastAsia="Times New Roman" w:cs="Times New Roman"/>
          <w:color w:val="444444"/>
          <w:lang w:val="bs-Cyrl-BA" w:eastAsia="fr-CH"/>
        </w:rPr>
        <w:t>ropsku sigurnosnu strategiju u kojoj se navode globalni izazovi</w:t>
      </w:r>
      <w:r w:rsidR="003C4141">
        <w:rPr>
          <w:rFonts w:eastAsia="Times New Roman" w:cs="Times New Roman"/>
          <w:color w:val="444444"/>
          <w:lang w:val="en-US" w:eastAsia="fr-CH"/>
        </w:rPr>
        <w:t xml:space="preserve"> </w:t>
      </w:r>
      <w:proofErr w:type="spellStart"/>
      <w:r w:rsidR="009F6358">
        <w:rPr>
          <w:rFonts w:eastAsia="Times New Roman" w:cs="Times New Roman"/>
          <w:color w:val="444444"/>
          <w:lang w:val="en-US" w:eastAsia="fr-CH"/>
        </w:rPr>
        <w:t>i</w:t>
      </w:r>
      <w:proofErr w:type="spellEnd"/>
      <w:r w:rsidR="003C4141">
        <w:rPr>
          <w:rFonts w:eastAsia="Times New Roman" w:cs="Times New Roman"/>
          <w:color w:val="444444"/>
          <w:lang w:val="en-US" w:eastAsia="fr-CH"/>
        </w:rPr>
        <w:t xml:space="preserve"> </w:t>
      </w:r>
      <w:r w:rsidRPr="006A50AA">
        <w:rPr>
          <w:rFonts w:eastAsia="Times New Roman" w:cs="Times New Roman"/>
          <w:color w:val="444444"/>
          <w:lang w:val="bs-Cyrl-BA" w:eastAsia="fr-CH"/>
        </w:rPr>
        <w:t>prijetnje</w:t>
      </w:r>
      <w:r w:rsidR="003C4141">
        <w:rPr>
          <w:rFonts w:eastAsia="Times New Roman" w:cs="Times New Roman"/>
          <w:color w:val="444444"/>
          <w:lang w:val="en-US" w:eastAsia="fr-CH"/>
        </w:rPr>
        <w:t>,</w:t>
      </w:r>
      <w:r w:rsidRPr="006A50AA">
        <w:rPr>
          <w:rFonts w:eastAsia="Times New Roman" w:cs="Times New Roman"/>
          <w:color w:val="444444"/>
          <w:lang w:val="bs-Cyrl-BA" w:eastAsia="fr-CH"/>
        </w:rPr>
        <w:t xml:space="preserve"> te kojom se poziva na uređen međunarodni poredak zasnovan na djelotvornom multilateralizmu</w:t>
      </w:r>
      <w:r w:rsidR="003C4141">
        <w:rPr>
          <w:rFonts w:eastAsia="Times New Roman" w:cs="Times New Roman"/>
          <w:color w:val="444444"/>
          <w:lang w:val="en-US" w:eastAsia="fr-CH"/>
        </w:rPr>
        <w:t xml:space="preserve"> </w:t>
      </w:r>
      <w:r w:rsidRPr="006A50AA">
        <w:rPr>
          <w:rFonts w:eastAsia="Times New Roman" w:cs="Times New Roman"/>
          <w:color w:val="444444"/>
          <w:lang w:val="bs-Cyrl-BA" w:eastAsia="fr-CH"/>
        </w:rPr>
        <w:t>i međunarodnim institucijama koje dobro funkcioniraju.</w:t>
      </w:r>
    </w:p>
    <w:p w:rsidR="006A50AA" w:rsidRPr="00A62D6A" w:rsidRDefault="006A50AA" w:rsidP="00E31F36">
      <w:pPr>
        <w:jc w:val="both"/>
        <w:rPr>
          <w:rFonts w:eastAsia="Times New Roman" w:cs="Times New Roman"/>
          <w:color w:val="444444"/>
          <w:lang w:val="fr-CH" w:eastAsia="fr-CH"/>
        </w:rPr>
      </w:pPr>
      <w:r w:rsidRPr="006A50AA">
        <w:rPr>
          <w:rFonts w:eastAsia="Times New Roman" w:cs="Times New Roman"/>
          <w:color w:val="444444"/>
          <w:lang w:val="bs-Cyrl-BA" w:eastAsia="fr-CH"/>
        </w:rPr>
        <w:t>(3) Konvencija o zabrani upo</w:t>
      </w:r>
      <w:proofErr w:type="spellStart"/>
      <w:r w:rsidR="003C4141">
        <w:rPr>
          <w:rFonts w:eastAsia="Times New Roman" w:cs="Times New Roman"/>
          <w:color w:val="444444"/>
          <w:lang w:val="en-US" w:eastAsia="fr-CH"/>
        </w:rPr>
        <w:t>trebe</w:t>
      </w:r>
      <w:proofErr w:type="spellEnd"/>
      <w:r w:rsidRPr="006A50AA">
        <w:rPr>
          <w:rFonts w:eastAsia="Times New Roman" w:cs="Times New Roman"/>
          <w:color w:val="444444"/>
          <w:lang w:val="bs-Cyrl-BA" w:eastAsia="fr-CH"/>
        </w:rPr>
        <w:t>, stvaranja zaliha, proizvodnje i prenosa protupješa</w:t>
      </w:r>
      <w:proofErr w:type="spellStart"/>
      <w:r w:rsidR="003C4141">
        <w:rPr>
          <w:rFonts w:eastAsia="Times New Roman" w:cs="Times New Roman"/>
          <w:color w:val="444444"/>
          <w:lang w:val="en-US" w:eastAsia="fr-CH"/>
        </w:rPr>
        <w:t>dijskih</w:t>
      </w:r>
      <w:proofErr w:type="spellEnd"/>
      <w:r w:rsidRPr="006A50AA">
        <w:rPr>
          <w:rFonts w:eastAsia="Times New Roman" w:cs="Times New Roman"/>
          <w:color w:val="444444"/>
          <w:lang w:val="bs-Cyrl-BA" w:eastAsia="fr-CH"/>
        </w:rPr>
        <w:t xml:space="preserve"> mina i o njihov</w:t>
      </w:r>
      <w:r w:rsidR="003C4141">
        <w:rPr>
          <w:rFonts w:eastAsia="Times New Roman" w:cs="Times New Roman"/>
          <w:color w:val="444444"/>
          <w:lang w:val="en-US" w:eastAsia="fr-CH"/>
        </w:rPr>
        <w:t>om</w:t>
      </w:r>
      <w:r w:rsidRPr="006A50AA">
        <w:rPr>
          <w:rFonts w:eastAsia="Times New Roman" w:cs="Times New Roman"/>
          <w:color w:val="444444"/>
          <w:lang w:val="bs-Cyrl-BA" w:eastAsia="fr-CH"/>
        </w:rPr>
        <w:t xml:space="preserve"> uništenju</w:t>
      </w:r>
      <w:r w:rsidR="003C4141">
        <w:rPr>
          <w:rFonts w:eastAsia="Times New Roman" w:cs="Times New Roman"/>
          <w:color w:val="444444"/>
          <w:lang w:val="en-US" w:eastAsia="fr-CH"/>
        </w:rPr>
        <w:t xml:space="preserve"> </w:t>
      </w:r>
      <w:r w:rsidRPr="006A50AA">
        <w:rPr>
          <w:rFonts w:eastAsia="Times New Roman" w:cs="Times New Roman"/>
          <w:color w:val="444444"/>
          <w:lang w:val="bs-Cyrl-BA" w:eastAsia="fr-CH"/>
        </w:rPr>
        <w:t xml:space="preserve">(„Konvencija”) stupila je na snagu 1. </w:t>
      </w:r>
      <w:proofErr w:type="spellStart"/>
      <w:proofErr w:type="gramStart"/>
      <w:r w:rsidR="003C4141">
        <w:rPr>
          <w:rFonts w:eastAsia="Times New Roman" w:cs="Times New Roman"/>
          <w:color w:val="444444"/>
          <w:lang w:val="en-US" w:eastAsia="fr-CH"/>
        </w:rPr>
        <w:t>marta</w:t>
      </w:r>
      <w:proofErr w:type="spellEnd"/>
      <w:proofErr w:type="gramEnd"/>
      <w:r w:rsidRPr="006A50AA">
        <w:rPr>
          <w:rFonts w:eastAsia="Times New Roman" w:cs="Times New Roman"/>
          <w:color w:val="444444"/>
          <w:lang w:val="bs-Cyrl-BA" w:eastAsia="fr-CH"/>
        </w:rPr>
        <w:t xml:space="preserve"> 1999. Konvencija predstavlja jedini sveobuhvatan međunarodni</w:t>
      </w:r>
      <w:r w:rsidR="003C4141">
        <w:rPr>
          <w:rFonts w:eastAsia="Times New Roman" w:cs="Times New Roman"/>
          <w:color w:val="444444"/>
          <w:lang w:val="en-US" w:eastAsia="fr-CH"/>
        </w:rPr>
        <w:t xml:space="preserve"> </w:t>
      </w:r>
      <w:r w:rsidRPr="006A50AA">
        <w:rPr>
          <w:rFonts w:eastAsia="Times New Roman" w:cs="Times New Roman"/>
          <w:color w:val="444444"/>
          <w:lang w:val="bs-Cyrl-BA" w:eastAsia="fr-CH"/>
        </w:rPr>
        <w:t>instrument koji se bavi svim aspektima protupješa</w:t>
      </w:r>
      <w:proofErr w:type="spellStart"/>
      <w:r w:rsidR="003C4141">
        <w:rPr>
          <w:rFonts w:eastAsia="Times New Roman" w:cs="Times New Roman"/>
          <w:color w:val="444444"/>
          <w:lang w:val="en-US" w:eastAsia="fr-CH"/>
        </w:rPr>
        <w:t>dijskih</w:t>
      </w:r>
      <w:proofErr w:type="spellEnd"/>
      <w:r w:rsidRPr="006A50AA">
        <w:rPr>
          <w:rFonts w:eastAsia="Times New Roman" w:cs="Times New Roman"/>
          <w:color w:val="444444"/>
          <w:lang w:val="bs-Cyrl-BA" w:eastAsia="fr-CH"/>
        </w:rPr>
        <w:t xml:space="preserve"> mina, </w:t>
      </w:r>
      <w:proofErr w:type="spellStart"/>
      <w:r w:rsidR="003C4141">
        <w:rPr>
          <w:rFonts w:eastAsia="Times New Roman" w:cs="Times New Roman"/>
          <w:color w:val="444444"/>
          <w:lang w:val="en-US" w:eastAsia="fr-CH"/>
        </w:rPr>
        <w:t>iz</w:t>
      </w:r>
      <w:proofErr w:type="spellEnd"/>
      <w:r w:rsidRPr="006A50AA">
        <w:rPr>
          <w:rFonts w:eastAsia="Times New Roman" w:cs="Times New Roman"/>
          <w:color w:val="444444"/>
          <w:lang w:val="bs-Cyrl-BA" w:eastAsia="fr-CH"/>
        </w:rPr>
        <w:t>među ostal</w:t>
      </w:r>
      <w:proofErr w:type="spellStart"/>
      <w:r w:rsidR="003C4141">
        <w:rPr>
          <w:rFonts w:eastAsia="Times New Roman" w:cs="Times New Roman"/>
          <w:color w:val="444444"/>
          <w:lang w:val="en-US" w:eastAsia="fr-CH"/>
        </w:rPr>
        <w:t>og</w:t>
      </w:r>
      <w:proofErr w:type="spellEnd"/>
      <w:r w:rsidRPr="006A50AA">
        <w:rPr>
          <w:rFonts w:eastAsia="Times New Roman" w:cs="Times New Roman"/>
          <w:color w:val="444444"/>
          <w:lang w:val="bs-Cyrl-BA" w:eastAsia="fr-CH"/>
        </w:rPr>
        <w:t xml:space="preserve"> njihovom upo</w:t>
      </w:r>
      <w:proofErr w:type="spellStart"/>
      <w:r w:rsidR="003C4141">
        <w:rPr>
          <w:rFonts w:eastAsia="Times New Roman" w:cs="Times New Roman"/>
          <w:color w:val="444444"/>
          <w:lang w:val="en-US" w:eastAsia="fr-CH"/>
        </w:rPr>
        <w:t>trebom</w:t>
      </w:r>
      <w:proofErr w:type="spellEnd"/>
      <w:r w:rsidRPr="006A50AA">
        <w:rPr>
          <w:rFonts w:eastAsia="Times New Roman" w:cs="Times New Roman"/>
          <w:color w:val="444444"/>
          <w:lang w:val="bs-Cyrl-BA" w:eastAsia="fr-CH"/>
        </w:rPr>
        <w:t>, stvaranjem</w:t>
      </w:r>
      <w:r w:rsidR="003C4141">
        <w:rPr>
          <w:rFonts w:eastAsia="Times New Roman" w:cs="Times New Roman"/>
          <w:color w:val="444444"/>
          <w:lang w:val="en-US" w:eastAsia="fr-CH"/>
        </w:rPr>
        <w:t xml:space="preserve"> </w:t>
      </w:r>
      <w:r w:rsidRPr="006A50AA">
        <w:rPr>
          <w:rFonts w:eastAsia="Times New Roman" w:cs="Times New Roman"/>
          <w:color w:val="444444"/>
          <w:lang w:val="bs-Cyrl-BA" w:eastAsia="fr-CH"/>
        </w:rPr>
        <w:t xml:space="preserve">zaliha, proizvodnjom, trgovinom, </w:t>
      </w:r>
      <w:r w:rsidR="00607F99">
        <w:rPr>
          <w:rFonts w:eastAsia="Times New Roman" w:cs="Times New Roman"/>
          <w:color w:val="444444"/>
          <w:lang w:val="bs-Cyrl-BA" w:eastAsia="fr-CH"/>
        </w:rPr>
        <w:t>deminiranje</w:t>
      </w:r>
      <w:r w:rsidRPr="006A50AA">
        <w:rPr>
          <w:rFonts w:eastAsia="Times New Roman" w:cs="Times New Roman"/>
          <w:color w:val="444444"/>
          <w:lang w:val="bs-Cyrl-BA" w:eastAsia="fr-CH"/>
        </w:rPr>
        <w:t xml:space="preserve">m i pomoći žrtvama. Od 1. </w:t>
      </w:r>
      <w:proofErr w:type="spellStart"/>
      <w:proofErr w:type="gramStart"/>
      <w:r w:rsidR="003C4141">
        <w:rPr>
          <w:rFonts w:eastAsia="Times New Roman" w:cs="Times New Roman"/>
          <w:color w:val="444444"/>
          <w:lang w:val="en-US" w:eastAsia="fr-CH"/>
        </w:rPr>
        <w:t>juna</w:t>
      </w:r>
      <w:proofErr w:type="spellEnd"/>
      <w:proofErr w:type="gramEnd"/>
      <w:r w:rsidRPr="006A50AA">
        <w:rPr>
          <w:rFonts w:eastAsia="Times New Roman" w:cs="Times New Roman"/>
          <w:color w:val="444444"/>
          <w:lang w:val="bs-Cyrl-BA" w:eastAsia="fr-CH"/>
        </w:rPr>
        <w:t xml:space="preserve"> 2013. sve drža</w:t>
      </w:r>
      <w:proofErr w:type="spellStart"/>
      <w:r w:rsidR="003C4141">
        <w:rPr>
          <w:rFonts w:eastAsia="Times New Roman" w:cs="Times New Roman"/>
          <w:color w:val="444444"/>
          <w:lang w:val="en-US" w:eastAsia="fr-CH"/>
        </w:rPr>
        <w:t>ve</w:t>
      </w:r>
      <w:proofErr w:type="spellEnd"/>
      <w:r w:rsidR="003C4141">
        <w:rPr>
          <w:rFonts w:eastAsia="Times New Roman" w:cs="Times New Roman"/>
          <w:color w:val="444444"/>
          <w:lang w:val="en-US" w:eastAsia="fr-CH"/>
        </w:rPr>
        <w:t xml:space="preserve"> </w:t>
      </w:r>
      <w:proofErr w:type="spellStart"/>
      <w:r w:rsidR="003C4141">
        <w:rPr>
          <w:rFonts w:eastAsia="Times New Roman" w:cs="Times New Roman"/>
          <w:color w:val="444444"/>
          <w:lang w:val="en-US" w:eastAsia="fr-CH"/>
        </w:rPr>
        <w:t>članice</w:t>
      </w:r>
      <w:proofErr w:type="spellEnd"/>
      <w:r w:rsidR="003C4141">
        <w:rPr>
          <w:rFonts w:eastAsia="Times New Roman" w:cs="Times New Roman"/>
          <w:color w:val="444444"/>
          <w:lang w:val="en-US" w:eastAsia="fr-CH"/>
        </w:rPr>
        <w:t xml:space="preserve"> </w:t>
      </w:r>
      <w:proofErr w:type="spellStart"/>
      <w:r w:rsidR="003C4141">
        <w:rPr>
          <w:rFonts w:eastAsia="Times New Roman" w:cs="Times New Roman"/>
          <w:color w:val="444444"/>
          <w:lang w:val="en-US" w:eastAsia="fr-CH"/>
        </w:rPr>
        <w:t>su</w:t>
      </w:r>
      <w:proofErr w:type="spellEnd"/>
      <w:r w:rsidR="003C4141">
        <w:rPr>
          <w:rFonts w:eastAsia="Times New Roman" w:cs="Times New Roman"/>
          <w:color w:val="444444"/>
          <w:lang w:val="en-US" w:eastAsia="fr-CH"/>
        </w:rPr>
        <w:t xml:space="preserve"> </w:t>
      </w:r>
      <w:proofErr w:type="spellStart"/>
      <w:r w:rsidR="003C4141">
        <w:rPr>
          <w:rFonts w:eastAsia="Times New Roman" w:cs="Times New Roman"/>
          <w:color w:val="444444"/>
          <w:lang w:val="en-US" w:eastAsia="fr-CH"/>
        </w:rPr>
        <w:t>stranke</w:t>
      </w:r>
      <w:proofErr w:type="spellEnd"/>
      <w:r w:rsidR="003C4141">
        <w:rPr>
          <w:rFonts w:eastAsia="Times New Roman" w:cs="Times New Roman"/>
          <w:color w:val="444444"/>
          <w:lang w:val="en-US" w:eastAsia="fr-CH"/>
        </w:rPr>
        <w:t xml:space="preserve"> </w:t>
      </w:r>
      <w:proofErr w:type="spellStart"/>
      <w:r w:rsidR="003C4141">
        <w:rPr>
          <w:rFonts w:eastAsia="Times New Roman" w:cs="Times New Roman"/>
          <w:color w:val="444444"/>
          <w:lang w:val="en-US" w:eastAsia="fr-CH"/>
        </w:rPr>
        <w:t>Konvencije</w:t>
      </w:r>
      <w:proofErr w:type="spellEnd"/>
      <w:r w:rsidR="005F091A">
        <w:rPr>
          <w:rFonts w:eastAsia="Times New Roman" w:cs="Times New Roman"/>
          <w:color w:val="444444"/>
          <w:lang w:val="en-US" w:eastAsia="fr-CH"/>
        </w:rPr>
        <w:t xml:space="preserve">, a </w:t>
      </w:r>
      <w:r w:rsidR="003C4141">
        <w:rPr>
          <w:rFonts w:eastAsia="Times New Roman" w:cs="Times New Roman"/>
          <w:color w:val="444444"/>
          <w:lang w:val="en-US" w:eastAsia="fr-CH"/>
        </w:rPr>
        <w:t xml:space="preserve">1. </w:t>
      </w:r>
      <w:proofErr w:type="spellStart"/>
      <w:proofErr w:type="gramStart"/>
      <w:r w:rsidR="003C4141">
        <w:rPr>
          <w:rFonts w:eastAsia="Times New Roman" w:cs="Times New Roman"/>
          <w:color w:val="444444"/>
          <w:lang w:val="en-US" w:eastAsia="fr-CH"/>
        </w:rPr>
        <w:t>septembra</w:t>
      </w:r>
      <w:proofErr w:type="spellEnd"/>
      <w:proofErr w:type="gramEnd"/>
      <w:r w:rsidR="003C4141">
        <w:rPr>
          <w:rFonts w:eastAsia="Times New Roman" w:cs="Times New Roman"/>
          <w:color w:val="444444"/>
          <w:lang w:val="en-US" w:eastAsia="fr-CH"/>
        </w:rPr>
        <w:t xml:space="preserve"> 2016.</w:t>
      </w:r>
      <w:r w:rsidR="005F091A">
        <w:rPr>
          <w:rFonts w:eastAsia="Times New Roman" w:cs="Times New Roman"/>
          <w:color w:val="444444"/>
          <w:lang w:val="en-US" w:eastAsia="fr-CH"/>
        </w:rPr>
        <w:t xml:space="preserve"> </w:t>
      </w:r>
      <w:proofErr w:type="gramStart"/>
      <w:r w:rsidR="005F091A">
        <w:rPr>
          <w:rFonts w:eastAsia="Times New Roman" w:cs="Times New Roman"/>
          <w:color w:val="444444"/>
          <w:lang w:val="en-US" w:eastAsia="fr-CH"/>
        </w:rPr>
        <w:t xml:space="preserve">162 </w:t>
      </w:r>
      <w:proofErr w:type="spellStart"/>
      <w:r w:rsidR="005F091A">
        <w:rPr>
          <w:rFonts w:eastAsia="Times New Roman" w:cs="Times New Roman"/>
          <w:color w:val="444444"/>
          <w:lang w:val="en-US" w:eastAsia="fr-CH"/>
        </w:rPr>
        <w:t>države</w:t>
      </w:r>
      <w:proofErr w:type="spellEnd"/>
      <w:r w:rsidR="005F091A">
        <w:rPr>
          <w:rFonts w:eastAsia="Times New Roman" w:cs="Times New Roman"/>
          <w:color w:val="444444"/>
          <w:lang w:val="en-US" w:eastAsia="fr-CH"/>
        </w:rPr>
        <w:t xml:space="preserve"> </w:t>
      </w:r>
      <w:proofErr w:type="spellStart"/>
      <w:r w:rsidR="005F091A">
        <w:rPr>
          <w:rFonts w:eastAsia="Times New Roman" w:cs="Times New Roman"/>
          <w:color w:val="444444"/>
          <w:lang w:val="en-US" w:eastAsia="fr-CH"/>
        </w:rPr>
        <w:t>su</w:t>
      </w:r>
      <w:proofErr w:type="spellEnd"/>
      <w:r w:rsidR="005F091A">
        <w:rPr>
          <w:rFonts w:eastAsia="Times New Roman" w:cs="Times New Roman"/>
          <w:color w:val="444444"/>
          <w:lang w:val="en-US" w:eastAsia="fr-CH"/>
        </w:rPr>
        <w:t xml:space="preserve"> </w:t>
      </w:r>
      <w:proofErr w:type="spellStart"/>
      <w:r w:rsidR="005F091A">
        <w:rPr>
          <w:rFonts w:eastAsia="Times New Roman" w:cs="Times New Roman"/>
          <w:color w:val="444444"/>
          <w:lang w:val="en-US" w:eastAsia="fr-CH"/>
        </w:rPr>
        <w:t>izrazile</w:t>
      </w:r>
      <w:proofErr w:type="spellEnd"/>
      <w:r w:rsidR="005F091A">
        <w:rPr>
          <w:rFonts w:eastAsia="Times New Roman" w:cs="Times New Roman"/>
          <w:color w:val="444444"/>
          <w:lang w:val="en-US" w:eastAsia="fr-CH"/>
        </w:rPr>
        <w:t xml:space="preserve"> </w:t>
      </w:r>
      <w:proofErr w:type="spellStart"/>
      <w:r w:rsidR="005F091A">
        <w:rPr>
          <w:rFonts w:eastAsia="Times New Roman" w:cs="Times New Roman"/>
          <w:color w:val="444444"/>
          <w:lang w:val="en-US" w:eastAsia="fr-CH"/>
        </w:rPr>
        <w:t>saglasnost</w:t>
      </w:r>
      <w:proofErr w:type="spellEnd"/>
      <w:r w:rsidR="005F091A">
        <w:rPr>
          <w:rFonts w:eastAsia="Times New Roman" w:cs="Times New Roman"/>
          <w:color w:val="444444"/>
          <w:lang w:val="en-US" w:eastAsia="fr-CH"/>
        </w:rPr>
        <w:t xml:space="preserve"> da </w:t>
      </w:r>
      <w:proofErr w:type="spellStart"/>
      <w:r w:rsidR="005F091A">
        <w:rPr>
          <w:rFonts w:eastAsia="Times New Roman" w:cs="Times New Roman"/>
          <w:color w:val="444444"/>
          <w:lang w:val="en-US" w:eastAsia="fr-CH"/>
        </w:rPr>
        <w:t>budu</w:t>
      </w:r>
      <w:proofErr w:type="spellEnd"/>
      <w:r w:rsidR="005F091A">
        <w:rPr>
          <w:rFonts w:eastAsia="Times New Roman" w:cs="Times New Roman"/>
          <w:color w:val="444444"/>
          <w:lang w:val="en-US" w:eastAsia="fr-CH"/>
        </w:rPr>
        <w:t xml:space="preserve"> </w:t>
      </w:r>
      <w:proofErr w:type="spellStart"/>
      <w:r w:rsidR="005F091A">
        <w:rPr>
          <w:rFonts w:eastAsia="Times New Roman" w:cs="Times New Roman"/>
          <w:color w:val="444444"/>
          <w:lang w:val="en-US" w:eastAsia="fr-CH"/>
        </w:rPr>
        <w:t>obavezane</w:t>
      </w:r>
      <w:proofErr w:type="spellEnd"/>
      <w:r w:rsidR="005F091A">
        <w:rPr>
          <w:rFonts w:eastAsia="Times New Roman" w:cs="Times New Roman"/>
          <w:color w:val="444444"/>
          <w:lang w:val="en-US" w:eastAsia="fr-CH"/>
        </w:rPr>
        <w:t xml:space="preserve"> </w:t>
      </w:r>
      <w:proofErr w:type="spellStart"/>
      <w:r w:rsidR="005F091A">
        <w:rPr>
          <w:rFonts w:eastAsia="Times New Roman" w:cs="Times New Roman"/>
          <w:color w:val="444444"/>
          <w:lang w:val="en-US" w:eastAsia="fr-CH"/>
        </w:rPr>
        <w:t>Konvencijom</w:t>
      </w:r>
      <w:proofErr w:type="spellEnd"/>
      <w:r w:rsidR="005F091A">
        <w:rPr>
          <w:rFonts w:eastAsia="Times New Roman" w:cs="Times New Roman"/>
          <w:color w:val="444444"/>
          <w:lang w:val="en-US" w:eastAsia="fr-CH"/>
        </w:rPr>
        <w:t>.</w:t>
      </w:r>
      <w:proofErr w:type="gramEnd"/>
      <w:r w:rsidR="003C4141">
        <w:rPr>
          <w:rFonts w:eastAsia="Times New Roman" w:cs="Times New Roman"/>
          <w:color w:val="444444"/>
          <w:lang w:val="en-US" w:eastAsia="fr-CH"/>
        </w:rPr>
        <w:t xml:space="preserve">   </w:t>
      </w:r>
      <w:r w:rsidR="00A62D6A">
        <w:rPr>
          <w:sz w:val="16"/>
          <w:szCs w:val="16"/>
          <w:lang w:val="fr-CH"/>
        </w:rPr>
        <w:t>.</w:t>
      </w:r>
    </w:p>
    <w:p w:rsidR="006A50AA" w:rsidRPr="004D00E0" w:rsidRDefault="006A50AA" w:rsidP="00E31F36">
      <w:pPr>
        <w:jc w:val="both"/>
        <w:rPr>
          <w:b/>
          <w:bCs/>
          <w:lang w:val="bs-Cyrl-BA"/>
        </w:rPr>
      </w:pPr>
      <w:r w:rsidRPr="004D00E0">
        <w:rPr>
          <w:b/>
          <w:bCs/>
          <w:lang w:val="bs-Cyrl-BA"/>
        </w:rPr>
        <w:t>DONIJELO JE OVU ODLUKU:</w:t>
      </w:r>
    </w:p>
    <w:p w:rsidR="006A50AA" w:rsidRPr="004D00E0" w:rsidRDefault="006A50AA" w:rsidP="00E31F36">
      <w:pPr>
        <w:jc w:val="both"/>
        <w:rPr>
          <w:b/>
          <w:bCs/>
          <w:lang w:val="bs-Cyrl-BA"/>
        </w:rPr>
      </w:pPr>
      <w:r w:rsidRPr="004D00E0">
        <w:rPr>
          <w:b/>
          <w:bCs/>
          <w:lang w:val="bs-Cyrl-BA"/>
        </w:rPr>
        <w:t>Član 1.</w:t>
      </w:r>
    </w:p>
    <w:p w:rsidR="00235940" w:rsidRPr="004D00E0" w:rsidRDefault="006A50AA" w:rsidP="00E31F36">
      <w:pPr>
        <w:jc w:val="both"/>
        <w:rPr>
          <w:lang w:val="bs-Cyrl-BA"/>
        </w:rPr>
      </w:pPr>
      <w:r w:rsidRPr="006A50AA">
        <w:rPr>
          <w:lang w:val="bs-Cyrl-BA"/>
        </w:rPr>
        <w:t>1. Radi doprinošenja sig</w:t>
      </w:r>
      <w:r w:rsidR="004F1474">
        <w:rPr>
          <w:lang w:val="bs-Cyrl-BA"/>
        </w:rPr>
        <w:t>urnosti ljudi po</w:t>
      </w:r>
      <w:proofErr w:type="spellStart"/>
      <w:r w:rsidR="004F1474">
        <w:rPr>
          <w:lang w:val="en-US"/>
        </w:rPr>
        <w:t>drškom</w:t>
      </w:r>
      <w:proofErr w:type="spellEnd"/>
      <w:r w:rsidR="004F1474">
        <w:rPr>
          <w:lang w:val="en-US"/>
        </w:rPr>
        <w:t xml:space="preserve"> </w:t>
      </w:r>
      <w:r w:rsidRPr="006A50AA">
        <w:rPr>
          <w:lang w:val="bs-Cyrl-BA"/>
        </w:rPr>
        <w:t>provedb</w:t>
      </w:r>
      <w:r w:rsidR="004F1474">
        <w:rPr>
          <w:lang w:val="en-US"/>
        </w:rPr>
        <w:t>e</w:t>
      </w:r>
      <w:r w:rsidRPr="006A50AA">
        <w:rPr>
          <w:lang w:val="bs-Cyrl-BA"/>
        </w:rPr>
        <w:t xml:space="preserve"> Akci</w:t>
      </w:r>
      <w:proofErr w:type="spellStart"/>
      <w:r w:rsidR="004F1474">
        <w:rPr>
          <w:lang w:val="en-US"/>
        </w:rPr>
        <w:t>onog</w:t>
      </w:r>
      <w:proofErr w:type="spellEnd"/>
      <w:r w:rsidR="004F1474">
        <w:rPr>
          <w:lang w:val="en-US"/>
        </w:rPr>
        <w:t xml:space="preserve"> </w:t>
      </w:r>
      <w:r w:rsidRPr="006A50AA">
        <w:rPr>
          <w:lang w:val="bs-Cyrl-BA"/>
        </w:rPr>
        <w:t xml:space="preserve">plana iz Maputa za razdoblje 2014.–2019. </w:t>
      </w:r>
      <w:proofErr w:type="gramStart"/>
      <w:r w:rsidR="004F1474">
        <w:rPr>
          <w:lang w:val="en-US"/>
        </w:rPr>
        <w:t>k</w:t>
      </w:r>
      <w:r w:rsidRPr="006A50AA">
        <w:rPr>
          <w:lang w:val="bs-Cyrl-BA"/>
        </w:rPr>
        <w:t>oji</w:t>
      </w:r>
      <w:proofErr w:type="gramEnd"/>
      <w:r w:rsidR="004F1474">
        <w:rPr>
          <w:lang w:val="en-US"/>
        </w:rPr>
        <w:t xml:space="preserve"> </w:t>
      </w:r>
      <w:r w:rsidRPr="006A50AA">
        <w:rPr>
          <w:lang w:val="bs-Cyrl-BA"/>
        </w:rPr>
        <w:t>su države stranke donijele na trećoj revizijskoj konferenciji Konvencije iz 1997. o zabrani upo</w:t>
      </w:r>
      <w:proofErr w:type="spellStart"/>
      <w:r w:rsidR="004F1474">
        <w:rPr>
          <w:lang w:val="en-US"/>
        </w:rPr>
        <w:t>trebe</w:t>
      </w:r>
      <w:proofErr w:type="spellEnd"/>
      <w:r w:rsidRPr="006A50AA">
        <w:rPr>
          <w:lang w:val="bs-Cyrl-BA"/>
        </w:rPr>
        <w:t>, stvaranja zaliha,</w:t>
      </w:r>
      <w:r w:rsidR="004F1474">
        <w:rPr>
          <w:lang w:val="en-US"/>
        </w:rPr>
        <w:t xml:space="preserve"> </w:t>
      </w:r>
      <w:r w:rsidR="004F1474">
        <w:rPr>
          <w:lang w:val="bs-Cyrl-BA"/>
        </w:rPr>
        <w:t>proizvodnje i pr</w:t>
      </w:r>
      <w:r w:rsidRPr="006A50AA">
        <w:rPr>
          <w:lang w:val="bs-Cyrl-BA"/>
        </w:rPr>
        <w:t>enosa protupješa</w:t>
      </w:r>
      <w:proofErr w:type="spellStart"/>
      <w:r w:rsidR="004F1474">
        <w:rPr>
          <w:lang w:val="en-US"/>
        </w:rPr>
        <w:t>dijskih</w:t>
      </w:r>
      <w:proofErr w:type="spellEnd"/>
      <w:r w:rsidRPr="006A50AA">
        <w:rPr>
          <w:lang w:val="bs-Cyrl-BA"/>
        </w:rPr>
        <w:t xml:space="preserve"> mina i o njihov</w:t>
      </w:r>
      <w:r w:rsidR="004F1474">
        <w:rPr>
          <w:lang w:val="en-US"/>
        </w:rPr>
        <w:t>om</w:t>
      </w:r>
      <w:r w:rsidRPr="006A50AA">
        <w:rPr>
          <w:lang w:val="bs-Cyrl-BA"/>
        </w:rPr>
        <w:t xml:space="preserve"> uništenju („Konvencija”</w:t>
      </w:r>
      <w:r w:rsidR="004D00E0">
        <w:rPr>
          <w:lang w:val="bs-Cyrl-BA"/>
        </w:rPr>
        <w:t>), u okviru E</w:t>
      </w:r>
      <w:r w:rsidR="004F1474">
        <w:rPr>
          <w:lang w:val="en-US"/>
        </w:rPr>
        <w:t>v</w:t>
      </w:r>
      <w:r w:rsidR="004D00E0">
        <w:rPr>
          <w:lang w:val="bs-Cyrl-BA"/>
        </w:rPr>
        <w:t>ropske sigurnosne</w:t>
      </w:r>
      <w:r w:rsidR="004F1474">
        <w:rPr>
          <w:lang w:val="en-US"/>
        </w:rPr>
        <w:t xml:space="preserve"> </w:t>
      </w:r>
      <w:r w:rsidRPr="006A50AA">
        <w:rPr>
          <w:lang w:val="bs-Cyrl-BA"/>
        </w:rPr>
        <w:t>strategije</w:t>
      </w:r>
      <w:r w:rsidR="004F1474">
        <w:rPr>
          <w:lang w:val="en-US"/>
        </w:rPr>
        <w:t xml:space="preserve"> </w:t>
      </w:r>
      <w:r w:rsidRPr="006A50AA">
        <w:rPr>
          <w:lang w:val="bs-Cyrl-BA"/>
        </w:rPr>
        <w:t>i u skladu s</w:t>
      </w:r>
      <w:r w:rsidR="004F1474">
        <w:rPr>
          <w:lang w:val="en-US"/>
        </w:rPr>
        <w:t>a</w:t>
      </w:r>
      <w:r w:rsidRPr="006A50AA">
        <w:rPr>
          <w:lang w:val="bs-Cyrl-BA"/>
        </w:rPr>
        <w:t xml:space="preserve"> odgovarajućim odlukama međunarodne zajednice, E</w:t>
      </w:r>
      <w:r w:rsidR="004F1474">
        <w:rPr>
          <w:lang w:val="en-US"/>
        </w:rPr>
        <w:t>v</w:t>
      </w:r>
      <w:r w:rsidRPr="006A50AA">
        <w:rPr>
          <w:lang w:val="bs-Cyrl-BA"/>
        </w:rPr>
        <w:t>ropska unija teži ostvarenju sljedećih ciljeva:</w:t>
      </w:r>
    </w:p>
    <w:tbl>
      <w:tblPr>
        <w:tblW w:w="5000" w:type="pct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60"/>
        <w:gridCol w:w="111"/>
      </w:tblGrid>
      <w:tr w:rsidR="00235940" w:rsidRPr="006A50AA" w:rsidTr="006A50AA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</w:tcPr>
          <w:p w:rsidR="00630E89" w:rsidRPr="006A50AA" w:rsidRDefault="004F1474" w:rsidP="009F6358">
            <w:pPr>
              <w:jc w:val="both"/>
              <w:rPr>
                <w:lang w:val="bs-Cyrl-BA"/>
              </w:rPr>
            </w:pPr>
            <w:r>
              <w:rPr>
                <w:lang w:val="bs-Cyrl-BA"/>
              </w:rPr>
              <w:t>(a) pružanj</w:t>
            </w:r>
            <w:r w:rsidR="009F6358">
              <w:rPr>
                <w:lang w:val="en-US"/>
              </w:rPr>
              <w:t>e</w:t>
            </w:r>
            <w:r>
              <w:rPr>
                <w:lang w:val="bs-Cyrl-BA"/>
              </w:rPr>
              <w:t xml:space="preserve"> po</w:t>
            </w:r>
            <w:proofErr w:type="spellStart"/>
            <w:r>
              <w:rPr>
                <w:lang w:val="en-US"/>
              </w:rPr>
              <w:t>drške</w:t>
            </w:r>
            <w:proofErr w:type="spellEnd"/>
            <w:r w:rsidR="00E31F36" w:rsidRPr="00E31F36">
              <w:rPr>
                <w:lang w:val="bs-Cyrl-BA"/>
              </w:rPr>
              <w:t xml:space="preserve"> naporima država stranaka Konvencije u provedbi aspekata u vezi s</w:t>
            </w:r>
            <w:r w:rsidR="009F6358">
              <w:rPr>
                <w:lang w:val="en-US"/>
              </w:rPr>
              <w:t>a</w:t>
            </w:r>
            <w:r w:rsidR="00E31F36" w:rsidRPr="00E31F36">
              <w:rPr>
                <w:lang w:val="bs-Cyrl-BA"/>
              </w:rPr>
              <w:t xml:space="preserve"> </w:t>
            </w:r>
            <w:r w:rsidR="00607F99">
              <w:rPr>
                <w:lang w:val="bs-Cyrl-BA"/>
              </w:rPr>
              <w:t>deminiranje</w:t>
            </w:r>
            <w:r w:rsidR="00E31F36" w:rsidRPr="00E31F36">
              <w:rPr>
                <w:lang w:val="bs-Cyrl-BA"/>
              </w:rPr>
              <w:t>m iz Akci</w:t>
            </w:r>
            <w:proofErr w:type="spellStart"/>
            <w:r>
              <w:rPr>
                <w:lang w:val="en-US"/>
              </w:rPr>
              <w:t>onog</w:t>
            </w:r>
            <w:proofErr w:type="spellEnd"/>
            <w:r>
              <w:rPr>
                <w:lang w:val="en-US"/>
              </w:rPr>
              <w:t xml:space="preserve"> </w:t>
            </w:r>
            <w:r w:rsidR="00E31F36" w:rsidRPr="00E31F36">
              <w:rPr>
                <w:lang w:val="bs-Cyrl-BA"/>
              </w:rPr>
              <w:t>plana iz Maputa;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</w:tcPr>
          <w:p w:rsidR="00235940" w:rsidRPr="006A50AA" w:rsidRDefault="00235940" w:rsidP="00E31F36">
            <w:pPr>
              <w:jc w:val="both"/>
              <w:rPr>
                <w:lang w:val="bs-Cyrl-BA"/>
              </w:rPr>
            </w:pPr>
          </w:p>
        </w:tc>
      </w:tr>
    </w:tbl>
    <w:p w:rsidR="00235940" w:rsidRPr="006A50AA" w:rsidRDefault="00235940" w:rsidP="00E31F36">
      <w:pPr>
        <w:jc w:val="both"/>
        <w:rPr>
          <w:vanish/>
          <w:lang w:val="bs-Cyrl-BA"/>
        </w:rPr>
      </w:pPr>
    </w:p>
    <w:p w:rsidR="00235940" w:rsidRPr="006A50AA" w:rsidRDefault="00235940" w:rsidP="00E31F36">
      <w:pPr>
        <w:jc w:val="both"/>
        <w:rPr>
          <w:vanish/>
          <w:lang w:val="bs-Cyrl-BA"/>
        </w:rPr>
      </w:pPr>
    </w:p>
    <w:tbl>
      <w:tblPr>
        <w:tblW w:w="5000" w:type="pct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60"/>
        <w:gridCol w:w="111"/>
      </w:tblGrid>
      <w:tr w:rsidR="00235940" w:rsidRPr="006A50AA" w:rsidTr="006A50AA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</w:tcPr>
          <w:p w:rsidR="00E31F36" w:rsidRDefault="00E31F36" w:rsidP="00E31F36">
            <w:pPr>
              <w:jc w:val="both"/>
              <w:rPr>
                <w:lang w:val="fr-CH"/>
              </w:rPr>
            </w:pPr>
            <w:r>
              <w:rPr>
                <w:lang w:val="fr-CH"/>
              </w:rPr>
              <w:t>[…]</w:t>
            </w:r>
          </w:p>
          <w:p w:rsidR="00630E89" w:rsidRPr="006A50AA" w:rsidRDefault="004D00E0" w:rsidP="009F6358">
            <w:pPr>
              <w:jc w:val="both"/>
              <w:rPr>
                <w:lang w:val="bs-Cyrl-BA"/>
              </w:rPr>
            </w:pPr>
            <w:r w:rsidRPr="004D00E0">
              <w:rPr>
                <w:lang w:val="bs-Cyrl-BA"/>
              </w:rPr>
              <w:t>(e) dokazivanj</w:t>
            </w:r>
            <w:r w:rsidR="009F6358">
              <w:rPr>
                <w:lang w:val="en-US"/>
              </w:rPr>
              <w:t>e</w:t>
            </w:r>
            <w:r w:rsidRPr="004D00E0">
              <w:rPr>
                <w:lang w:val="bs-Cyrl-BA"/>
              </w:rPr>
              <w:t xml:space="preserve"> postojeće predanosti Unije i njenih država članica Konvenciji i njihove odlučnosti da s</w:t>
            </w:r>
            <w:r w:rsidR="004F1474">
              <w:rPr>
                <w:lang w:val="en-US"/>
              </w:rPr>
              <w:t>a</w:t>
            </w:r>
            <w:r w:rsidRPr="004D00E0">
              <w:rPr>
                <w:lang w:val="bs-Cyrl-BA"/>
              </w:rPr>
              <w:t>rađuju s</w:t>
            </w:r>
            <w:r w:rsidR="004F1474">
              <w:rPr>
                <w:lang w:val="en-US"/>
              </w:rPr>
              <w:t>a</w:t>
            </w:r>
            <w:r w:rsidRPr="004D00E0">
              <w:rPr>
                <w:lang w:val="bs-Cyrl-BA"/>
              </w:rPr>
              <w:t xml:space="preserve"> onim državama kojima je potrebna po</w:t>
            </w:r>
            <w:proofErr w:type="spellStart"/>
            <w:r w:rsidR="004F1474">
              <w:rPr>
                <w:lang w:val="en-US"/>
              </w:rPr>
              <w:t>drška</w:t>
            </w:r>
            <w:proofErr w:type="spellEnd"/>
            <w:r w:rsidRPr="004D00E0">
              <w:rPr>
                <w:lang w:val="bs-Cyrl-BA"/>
              </w:rPr>
              <w:t xml:space="preserve"> za ispunjenje ob</w:t>
            </w:r>
            <w:r w:rsidR="004F1474">
              <w:rPr>
                <w:lang w:val="en-US"/>
              </w:rPr>
              <w:t>a</w:t>
            </w:r>
            <w:r w:rsidRPr="004D00E0">
              <w:rPr>
                <w:lang w:val="bs-Cyrl-BA"/>
              </w:rPr>
              <w:t>veza Konvencije</w:t>
            </w:r>
            <w:r w:rsidR="004F1474">
              <w:rPr>
                <w:lang w:val="en-US"/>
              </w:rPr>
              <w:t xml:space="preserve"> </w:t>
            </w:r>
            <w:proofErr w:type="spellStart"/>
            <w:r w:rsidR="004F1474">
              <w:rPr>
                <w:lang w:val="en-US"/>
              </w:rPr>
              <w:t>i</w:t>
            </w:r>
            <w:proofErr w:type="spellEnd"/>
            <w:r w:rsidR="004F1474">
              <w:rPr>
                <w:lang w:val="en-US"/>
              </w:rPr>
              <w:t xml:space="preserve"> </w:t>
            </w:r>
            <w:r w:rsidRPr="004D00E0">
              <w:rPr>
                <w:lang w:val="bs-Cyrl-BA"/>
              </w:rPr>
              <w:t>da im pruže pomoć</w:t>
            </w:r>
            <w:r w:rsidR="004F1474">
              <w:rPr>
                <w:lang w:val="en-US"/>
              </w:rPr>
              <w:t>,</w:t>
            </w:r>
            <w:r w:rsidRPr="004D00E0">
              <w:rPr>
                <w:lang w:val="bs-Cyrl-BA"/>
              </w:rPr>
              <w:t xml:space="preserve"> te </w:t>
            </w:r>
            <w:proofErr w:type="spellStart"/>
            <w:r w:rsidR="009F6358">
              <w:rPr>
                <w:lang w:val="en-US"/>
              </w:rPr>
              <w:t>unapređenje</w:t>
            </w:r>
            <w:proofErr w:type="spellEnd"/>
            <w:r w:rsidR="004F1474">
              <w:rPr>
                <w:lang w:val="en-US"/>
              </w:rPr>
              <w:t xml:space="preserve"> </w:t>
            </w:r>
            <w:r w:rsidRPr="004D00E0">
              <w:rPr>
                <w:lang w:val="bs-Cyrl-BA"/>
              </w:rPr>
              <w:t>vodeće uloge Unije u postizanju vizije Konvencije o okončavanju stradanja i smrtnih slučajeva koje su prouzro</w:t>
            </w:r>
            <w:proofErr w:type="spellStart"/>
            <w:r w:rsidR="0065511D">
              <w:rPr>
                <w:lang w:val="en-US"/>
              </w:rPr>
              <w:t>kovale</w:t>
            </w:r>
            <w:proofErr w:type="spellEnd"/>
            <w:r w:rsidR="0065511D">
              <w:rPr>
                <w:lang w:val="en-US"/>
              </w:rPr>
              <w:t xml:space="preserve"> </w:t>
            </w:r>
            <w:r w:rsidRPr="004D00E0">
              <w:rPr>
                <w:lang w:val="bs-Cyrl-BA"/>
              </w:rPr>
              <w:t>protupješa</w:t>
            </w:r>
            <w:proofErr w:type="spellStart"/>
            <w:r w:rsidR="0065511D">
              <w:rPr>
                <w:lang w:val="en-US"/>
              </w:rPr>
              <w:t>dijske</w:t>
            </w:r>
            <w:proofErr w:type="spellEnd"/>
            <w:r w:rsidRPr="004D00E0">
              <w:rPr>
                <w:lang w:val="bs-Cyrl-BA"/>
              </w:rPr>
              <w:t xml:space="preserve"> mine.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</w:tcPr>
          <w:p w:rsidR="00630E89" w:rsidRPr="006A50AA" w:rsidRDefault="00630E89" w:rsidP="00E31F36">
            <w:pPr>
              <w:jc w:val="both"/>
              <w:rPr>
                <w:lang w:val="bs-Cyrl-BA"/>
              </w:rPr>
            </w:pPr>
          </w:p>
        </w:tc>
      </w:tr>
    </w:tbl>
    <w:p w:rsidR="002E3ACE" w:rsidRDefault="002E3ACE" w:rsidP="00E31F36">
      <w:pPr>
        <w:jc w:val="both"/>
        <w:rPr>
          <w:b/>
          <w:bCs/>
          <w:lang w:val="fr-CH"/>
        </w:rPr>
      </w:pPr>
    </w:p>
    <w:p w:rsidR="004D00E0" w:rsidRPr="004D00E0" w:rsidRDefault="004D00E0" w:rsidP="002E3ACE">
      <w:pPr>
        <w:jc w:val="center"/>
        <w:rPr>
          <w:b/>
          <w:bCs/>
          <w:lang w:val="bs-Cyrl-BA"/>
        </w:rPr>
      </w:pPr>
      <w:r w:rsidRPr="004D00E0">
        <w:rPr>
          <w:b/>
          <w:bCs/>
          <w:lang w:val="bs-Cyrl-BA"/>
        </w:rPr>
        <w:t>PRILOG</w:t>
      </w:r>
    </w:p>
    <w:p w:rsidR="004D00E0" w:rsidRPr="004D00E0" w:rsidRDefault="004D00E0" w:rsidP="00E31F36">
      <w:pPr>
        <w:jc w:val="both"/>
        <w:rPr>
          <w:b/>
          <w:bCs/>
          <w:lang w:val="bs-Cyrl-BA"/>
        </w:rPr>
      </w:pPr>
      <w:r w:rsidRPr="004D00E0">
        <w:rPr>
          <w:b/>
          <w:bCs/>
          <w:lang w:val="bs-Cyrl-BA"/>
        </w:rPr>
        <w:t>1. Cilj</w:t>
      </w:r>
    </w:p>
    <w:p w:rsidR="004D00E0" w:rsidRPr="004D00E0" w:rsidRDefault="004D00E0" w:rsidP="00E31F36">
      <w:pPr>
        <w:jc w:val="both"/>
        <w:rPr>
          <w:lang w:val="bs-Cyrl-BA"/>
        </w:rPr>
      </w:pPr>
      <w:r w:rsidRPr="004D00E0">
        <w:rPr>
          <w:lang w:val="bs-Cyrl-BA"/>
        </w:rPr>
        <w:t>Doprinijeti sigurnosti ljudi po</w:t>
      </w:r>
      <w:proofErr w:type="spellStart"/>
      <w:r w:rsidR="0065511D">
        <w:rPr>
          <w:lang w:val="en-US"/>
        </w:rPr>
        <w:t>drškom</w:t>
      </w:r>
      <w:proofErr w:type="spellEnd"/>
      <w:r w:rsidR="0065511D">
        <w:rPr>
          <w:lang w:val="en-US"/>
        </w:rPr>
        <w:t xml:space="preserve"> </w:t>
      </w:r>
      <w:r w:rsidRPr="004D00E0">
        <w:rPr>
          <w:lang w:val="bs-Cyrl-BA"/>
        </w:rPr>
        <w:t>provedb</w:t>
      </w:r>
      <w:r w:rsidR="0065511D">
        <w:rPr>
          <w:lang w:val="en-US"/>
        </w:rPr>
        <w:t>e</w:t>
      </w:r>
      <w:r w:rsidRPr="004D00E0">
        <w:rPr>
          <w:lang w:val="bs-Cyrl-BA"/>
        </w:rPr>
        <w:t xml:space="preserve"> Akci</w:t>
      </w:r>
      <w:proofErr w:type="spellStart"/>
      <w:r w:rsidR="0065511D">
        <w:rPr>
          <w:lang w:val="en-US"/>
        </w:rPr>
        <w:t>onog</w:t>
      </w:r>
      <w:proofErr w:type="spellEnd"/>
      <w:r w:rsidRPr="004D00E0">
        <w:rPr>
          <w:lang w:val="bs-Cyrl-BA"/>
        </w:rPr>
        <w:t xml:space="preserve"> plana iz Maputa za razdoblje 2014.–2019. koji su</w:t>
      </w:r>
      <w:r w:rsidR="0065511D">
        <w:rPr>
          <w:lang w:val="en-US"/>
        </w:rPr>
        <w:t xml:space="preserve"> </w:t>
      </w:r>
      <w:r w:rsidRPr="004D00E0">
        <w:rPr>
          <w:lang w:val="bs-Cyrl-BA"/>
        </w:rPr>
        <w:t>države stranke donijele na trećoj revizijskoj konferenciji Konvencije iz 1997. o zabrani upo</w:t>
      </w:r>
      <w:proofErr w:type="spellStart"/>
      <w:r w:rsidR="0065511D">
        <w:rPr>
          <w:lang w:val="en-US"/>
        </w:rPr>
        <w:t>trebe</w:t>
      </w:r>
      <w:proofErr w:type="spellEnd"/>
      <w:r w:rsidRPr="004D00E0">
        <w:rPr>
          <w:lang w:val="bs-Cyrl-BA"/>
        </w:rPr>
        <w:t>, stvaranja zaliha,</w:t>
      </w:r>
      <w:r w:rsidR="0065511D">
        <w:rPr>
          <w:lang w:val="en-US"/>
        </w:rPr>
        <w:t xml:space="preserve"> </w:t>
      </w:r>
      <w:r w:rsidR="0065511D">
        <w:rPr>
          <w:lang w:val="bs-Cyrl-BA"/>
        </w:rPr>
        <w:t>proizvodnje i pr</w:t>
      </w:r>
      <w:r w:rsidRPr="004D00E0">
        <w:rPr>
          <w:lang w:val="bs-Cyrl-BA"/>
        </w:rPr>
        <w:t>enosa protupješa</w:t>
      </w:r>
      <w:proofErr w:type="spellStart"/>
      <w:r w:rsidR="0065511D">
        <w:rPr>
          <w:lang w:val="en-US"/>
        </w:rPr>
        <w:t>dijskih</w:t>
      </w:r>
      <w:proofErr w:type="spellEnd"/>
      <w:r w:rsidRPr="004D00E0">
        <w:rPr>
          <w:lang w:val="bs-Cyrl-BA"/>
        </w:rPr>
        <w:t xml:space="preserve"> mina i o njihov</w:t>
      </w:r>
      <w:r w:rsidR="0065511D">
        <w:rPr>
          <w:lang w:val="en-US"/>
        </w:rPr>
        <w:t>om</w:t>
      </w:r>
      <w:r w:rsidRPr="004D00E0">
        <w:rPr>
          <w:lang w:val="bs-Cyrl-BA"/>
        </w:rPr>
        <w:t xml:space="preserve"> uništenju („Konvencija”), u okviru E</w:t>
      </w:r>
      <w:r w:rsidR="0065511D">
        <w:rPr>
          <w:lang w:val="en-US"/>
        </w:rPr>
        <w:t>v</w:t>
      </w:r>
      <w:r w:rsidRPr="004D00E0">
        <w:rPr>
          <w:lang w:val="bs-Cyrl-BA"/>
        </w:rPr>
        <w:t>ropske sigurnosne</w:t>
      </w:r>
      <w:r w:rsidR="0065511D">
        <w:rPr>
          <w:lang w:val="en-US"/>
        </w:rPr>
        <w:t xml:space="preserve"> </w:t>
      </w:r>
      <w:r w:rsidRPr="004D00E0">
        <w:rPr>
          <w:lang w:val="bs-Cyrl-BA"/>
        </w:rPr>
        <w:t>strategije i u skladu s</w:t>
      </w:r>
      <w:r w:rsidR="0065511D">
        <w:rPr>
          <w:lang w:val="en-US"/>
        </w:rPr>
        <w:t>a</w:t>
      </w:r>
      <w:r w:rsidRPr="004D00E0">
        <w:rPr>
          <w:lang w:val="bs-Cyrl-BA"/>
        </w:rPr>
        <w:t xml:space="preserve"> odgovarajućim odlukama međunarodne zajednice.</w:t>
      </w:r>
    </w:p>
    <w:p w:rsidR="004D00E0" w:rsidRPr="004D00E0" w:rsidRDefault="004D00E0" w:rsidP="00E31F36">
      <w:pPr>
        <w:jc w:val="both"/>
        <w:rPr>
          <w:b/>
          <w:bCs/>
          <w:lang w:val="bs-Cyrl-BA"/>
        </w:rPr>
      </w:pPr>
      <w:r w:rsidRPr="004D00E0">
        <w:rPr>
          <w:b/>
          <w:bCs/>
          <w:lang w:val="bs-Cyrl-BA"/>
        </w:rPr>
        <w:t>2. Opis projekatâ</w:t>
      </w:r>
    </w:p>
    <w:p w:rsidR="004D00E0" w:rsidRPr="004D00E0" w:rsidRDefault="004D00E0" w:rsidP="00E31F36">
      <w:pPr>
        <w:jc w:val="both"/>
        <w:rPr>
          <w:lang w:val="bs-Cyrl-BA"/>
        </w:rPr>
      </w:pPr>
      <w:r w:rsidRPr="004D00E0">
        <w:rPr>
          <w:b/>
          <w:bCs/>
          <w:lang w:val="bs-Cyrl-BA"/>
        </w:rPr>
        <w:t xml:space="preserve">2.1. </w:t>
      </w:r>
      <w:r w:rsidR="00607F99">
        <w:rPr>
          <w:b/>
          <w:bCs/>
          <w:lang w:val="bs-Cyrl-BA"/>
        </w:rPr>
        <w:t>Deminiranje</w:t>
      </w:r>
      <w:r w:rsidRPr="004D00E0">
        <w:rPr>
          <w:b/>
          <w:bCs/>
          <w:lang w:val="bs-Cyrl-BA"/>
        </w:rPr>
        <w:t>:</w:t>
      </w:r>
      <w:r w:rsidRPr="004D00E0">
        <w:rPr>
          <w:lang w:val="bs-Cyrl-BA"/>
        </w:rPr>
        <w:t xml:space="preserve"> po</w:t>
      </w:r>
      <w:proofErr w:type="spellStart"/>
      <w:r w:rsidR="0065511D">
        <w:rPr>
          <w:lang w:val="en-US"/>
        </w:rPr>
        <w:t>drška</w:t>
      </w:r>
      <w:proofErr w:type="spellEnd"/>
      <w:r w:rsidRPr="004D00E0">
        <w:rPr>
          <w:lang w:val="bs-Cyrl-BA"/>
        </w:rPr>
        <w:t xml:space="preserve"> za provedbu mjere III. Akci</w:t>
      </w:r>
      <w:proofErr w:type="spellStart"/>
      <w:r w:rsidR="0065511D">
        <w:rPr>
          <w:lang w:val="en-US"/>
        </w:rPr>
        <w:t>onog</w:t>
      </w:r>
      <w:proofErr w:type="spellEnd"/>
      <w:r w:rsidRPr="004D00E0">
        <w:rPr>
          <w:lang w:val="bs-Cyrl-BA"/>
        </w:rPr>
        <w:t xml:space="preserve"> plana iz Maputa, </w:t>
      </w:r>
      <w:proofErr w:type="spellStart"/>
      <w:r w:rsidR="0065511D">
        <w:rPr>
          <w:lang w:val="en-US"/>
        </w:rPr>
        <w:t>iz</w:t>
      </w:r>
      <w:proofErr w:type="spellEnd"/>
      <w:r w:rsidRPr="004D00E0">
        <w:rPr>
          <w:lang w:val="bs-Cyrl-BA"/>
        </w:rPr>
        <w:t>među ostal</w:t>
      </w:r>
      <w:proofErr w:type="spellStart"/>
      <w:r w:rsidR="0065511D">
        <w:rPr>
          <w:lang w:val="en-US"/>
        </w:rPr>
        <w:t>og</w:t>
      </w:r>
      <w:proofErr w:type="spellEnd"/>
      <w:r w:rsidRPr="004D00E0">
        <w:rPr>
          <w:lang w:val="bs-Cyrl-BA"/>
        </w:rPr>
        <w:t xml:space="preserve"> nacionalno planiranje</w:t>
      </w:r>
      <w:r w:rsidR="0065511D">
        <w:rPr>
          <w:lang w:val="en-US"/>
        </w:rPr>
        <w:t xml:space="preserve"> </w:t>
      </w:r>
      <w:r w:rsidRPr="004D00E0">
        <w:rPr>
          <w:lang w:val="bs-Cyrl-BA"/>
        </w:rPr>
        <w:t>i izvješ</w:t>
      </w:r>
      <w:proofErr w:type="spellStart"/>
      <w:r w:rsidR="0065511D">
        <w:rPr>
          <w:lang w:val="en-US"/>
        </w:rPr>
        <w:t>tavanje</w:t>
      </w:r>
      <w:proofErr w:type="spellEnd"/>
      <w:r w:rsidRPr="004D00E0">
        <w:rPr>
          <w:lang w:val="bs-Cyrl-BA"/>
        </w:rPr>
        <w:t xml:space="preserve"> u najviše pet pogođenih država stranaka</w:t>
      </w:r>
    </w:p>
    <w:p w:rsidR="004D00E0" w:rsidRPr="004D00E0" w:rsidRDefault="004D00E0" w:rsidP="00E31F36">
      <w:pPr>
        <w:jc w:val="both"/>
        <w:rPr>
          <w:b/>
          <w:bCs/>
          <w:lang w:val="bs-Cyrl-BA"/>
        </w:rPr>
      </w:pPr>
      <w:r w:rsidRPr="004D00E0">
        <w:rPr>
          <w:b/>
          <w:bCs/>
          <w:lang w:val="bs-Cyrl-BA"/>
        </w:rPr>
        <w:t>2.1.1. Cilj projekta</w:t>
      </w:r>
    </w:p>
    <w:p w:rsidR="004D00E0" w:rsidRPr="004D00E0" w:rsidRDefault="004D00E0" w:rsidP="00E31F36">
      <w:pPr>
        <w:jc w:val="both"/>
        <w:rPr>
          <w:lang w:val="bs-Cyrl-BA"/>
        </w:rPr>
      </w:pPr>
      <w:r w:rsidRPr="004D00E0">
        <w:rPr>
          <w:lang w:val="bs-Cyrl-BA"/>
        </w:rPr>
        <w:t>Najviše pet država stranaka Konvencije dobiva po</w:t>
      </w:r>
      <w:proofErr w:type="spellStart"/>
      <w:r w:rsidR="0065511D">
        <w:rPr>
          <w:lang w:val="en-US"/>
        </w:rPr>
        <w:t>dršku</w:t>
      </w:r>
      <w:proofErr w:type="spellEnd"/>
      <w:r w:rsidRPr="004D00E0">
        <w:rPr>
          <w:lang w:val="bs-Cyrl-BA"/>
        </w:rPr>
        <w:t xml:space="preserve"> u provedbi aspekata u vezi s</w:t>
      </w:r>
      <w:r w:rsidR="00C832D9">
        <w:rPr>
          <w:lang w:val="en-US"/>
        </w:rPr>
        <w:t>a</w:t>
      </w:r>
      <w:r w:rsidRPr="004D00E0">
        <w:rPr>
          <w:lang w:val="bs-Cyrl-BA"/>
        </w:rPr>
        <w:t xml:space="preserve"> </w:t>
      </w:r>
      <w:r w:rsidR="00607F99">
        <w:rPr>
          <w:lang w:val="bs-Cyrl-BA"/>
        </w:rPr>
        <w:t>deminiranje</w:t>
      </w:r>
      <w:r w:rsidRPr="004D00E0">
        <w:rPr>
          <w:lang w:val="bs-Cyrl-BA"/>
        </w:rPr>
        <w:t>m iz Akci</w:t>
      </w:r>
      <w:r w:rsidR="0065511D">
        <w:rPr>
          <w:lang w:val="en-US"/>
        </w:rPr>
        <w:t>ono</w:t>
      </w:r>
      <w:r w:rsidRPr="004D00E0">
        <w:rPr>
          <w:lang w:val="bs-Cyrl-BA"/>
        </w:rPr>
        <w:t>g</w:t>
      </w:r>
      <w:r w:rsidR="0065511D">
        <w:rPr>
          <w:lang w:val="en-US"/>
        </w:rPr>
        <w:t xml:space="preserve"> </w:t>
      </w:r>
      <w:r w:rsidRPr="004D00E0">
        <w:rPr>
          <w:lang w:val="bs-Cyrl-BA"/>
        </w:rPr>
        <w:t>plana iz Maputa.</w:t>
      </w:r>
    </w:p>
    <w:p w:rsidR="004D00E0" w:rsidRPr="004D00E0" w:rsidRDefault="004D00E0" w:rsidP="00E31F36">
      <w:pPr>
        <w:jc w:val="both"/>
        <w:rPr>
          <w:b/>
          <w:bCs/>
          <w:lang w:val="bs-Cyrl-BA"/>
        </w:rPr>
      </w:pPr>
      <w:r w:rsidRPr="004D00E0">
        <w:rPr>
          <w:b/>
          <w:bCs/>
          <w:lang w:val="bs-Cyrl-BA"/>
        </w:rPr>
        <w:t>2.1.2. Opis projekta</w:t>
      </w:r>
    </w:p>
    <w:p w:rsidR="004D00E0" w:rsidRPr="004D00E0" w:rsidRDefault="00C832D9" w:rsidP="00E31F36">
      <w:pPr>
        <w:jc w:val="both"/>
        <w:rPr>
          <w:lang w:val="bs-Cyrl-BA"/>
        </w:rPr>
      </w:pPr>
      <w:r>
        <w:rPr>
          <w:lang w:val="bs-Cyrl-BA"/>
        </w:rPr>
        <w:t>— Po</w:t>
      </w:r>
      <w:proofErr w:type="spellStart"/>
      <w:r>
        <w:rPr>
          <w:lang w:val="en-US"/>
        </w:rPr>
        <w:t>drška</w:t>
      </w:r>
      <w:proofErr w:type="spellEnd"/>
      <w:r>
        <w:rPr>
          <w:lang w:val="en-US"/>
        </w:rPr>
        <w:t xml:space="preserve"> </w:t>
      </w:r>
      <w:r w:rsidR="004D00E0" w:rsidRPr="004D00E0">
        <w:rPr>
          <w:lang w:val="bs-Cyrl-BA"/>
        </w:rPr>
        <w:t>se putem odjela za po</w:t>
      </w:r>
      <w:proofErr w:type="spellStart"/>
      <w:r>
        <w:rPr>
          <w:lang w:val="en-US"/>
        </w:rPr>
        <w:t>dršku</w:t>
      </w:r>
      <w:proofErr w:type="spellEnd"/>
      <w:r w:rsidR="004D00E0" w:rsidRPr="004D00E0">
        <w:rPr>
          <w:lang w:val="bs-Cyrl-BA"/>
        </w:rPr>
        <w:t xml:space="preserve"> provedb</w:t>
      </w:r>
      <w:r>
        <w:rPr>
          <w:lang w:val="en-US"/>
        </w:rPr>
        <w:t>e</w:t>
      </w:r>
      <w:r w:rsidR="004D00E0" w:rsidRPr="004D00E0">
        <w:rPr>
          <w:lang w:val="bs-Cyrl-BA"/>
        </w:rPr>
        <w:t xml:space="preserve"> Konvencije pruža za najviše pet država stranaka u obliku</w:t>
      </w:r>
      <w:r>
        <w:rPr>
          <w:lang w:val="en-US"/>
        </w:rPr>
        <w:t xml:space="preserve"> </w:t>
      </w:r>
      <w:r w:rsidR="004D00E0" w:rsidRPr="004D00E0">
        <w:rPr>
          <w:lang w:val="bs-Cyrl-BA"/>
        </w:rPr>
        <w:t xml:space="preserve">olakšavanja dijalogâ nacionalnih </w:t>
      </w:r>
      <w:proofErr w:type="spellStart"/>
      <w:r>
        <w:rPr>
          <w:lang w:val="en-US"/>
        </w:rPr>
        <w:t>aktera</w:t>
      </w:r>
      <w:proofErr w:type="spellEnd"/>
      <w:r w:rsidR="004D00E0" w:rsidRPr="004D00E0">
        <w:rPr>
          <w:lang w:val="bs-Cyrl-BA"/>
        </w:rPr>
        <w:t xml:space="preserve">. Predstojeći rokovi za </w:t>
      </w:r>
      <w:r w:rsidR="00607F99">
        <w:rPr>
          <w:lang w:val="bs-Cyrl-BA"/>
        </w:rPr>
        <w:t>deminiranje</w:t>
      </w:r>
      <w:r w:rsidR="004D00E0" w:rsidRPr="004D00E0">
        <w:rPr>
          <w:lang w:val="bs-Cyrl-BA"/>
        </w:rPr>
        <w:t xml:space="preserve"> prihvatljivih država stranaka</w:t>
      </w:r>
      <w:r>
        <w:rPr>
          <w:lang w:val="en-US"/>
        </w:rPr>
        <w:t xml:space="preserve"> </w:t>
      </w:r>
      <w:r>
        <w:rPr>
          <w:lang w:val="bs-Cyrl-BA"/>
        </w:rPr>
        <w:t>ist</w:t>
      </w:r>
      <w:proofErr w:type="spellStart"/>
      <w:r>
        <w:rPr>
          <w:lang w:val="en-US"/>
        </w:rPr>
        <w:t>i</w:t>
      </w:r>
      <w:proofErr w:type="spellEnd"/>
      <w:r w:rsidR="004D00E0" w:rsidRPr="004D00E0">
        <w:rPr>
          <w:lang w:val="bs-Cyrl-BA"/>
        </w:rPr>
        <w:t>ču u 2018., 2019., 2020. i nadalje. Odbor Konvencije za član 5. Provedba bit će uključen u izbor</w:t>
      </w:r>
      <w:r>
        <w:rPr>
          <w:lang w:val="en-US"/>
        </w:rPr>
        <w:t xml:space="preserve"> </w:t>
      </w:r>
      <w:r w:rsidR="004D00E0" w:rsidRPr="004D00E0">
        <w:rPr>
          <w:lang w:val="bs-Cyrl-BA"/>
        </w:rPr>
        <w:t>država stranaka primateljica.</w:t>
      </w:r>
    </w:p>
    <w:p w:rsidR="004D00E0" w:rsidRPr="004D00E0" w:rsidRDefault="004D00E0" w:rsidP="00E31F36">
      <w:pPr>
        <w:jc w:val="both"/>
        <w:rPr>
          <w:lang w:val="bs-Cyrl-BA"/>
        </w:rPr>
      </w:pPr>
      <w:r w:rsidRPr="004D00E0">
        <w:rPr>
          <w:lang w:val="bs-Cyrl-BA"/>
        </w:rPr>
        <w:t xml:space="preserve">— Dijaloge nacionalnih </w:t>
      </w:r>
      <w:proofErr w:type="spellStart"/>
      <w:r w:rsidR="00C832D9">
        <w:rPr>
          <w:lang w:val="en-US"/>
        </w:rPr>
        <w:t>aktera</w:t>
      </w:r>
      <w:proofErr w:type="spellEnd"/>
      <w:r w:rsidR="00C832D9">
        <w:rPr>
          <w:lang w:val="en-US"/>
        </w:rPr>
        <w:t xml:space="preserve"> </w:t>
      </w:r>
      <w:r w:rsidRPr="004D00E0">
        <w:rPr>
          <w:lang w:val="bs-Cyrl-BA"/>
        </w:rPr>
        <w:t>olakšavat će odjel za po</w:t>
      </w:r>
      <w:proofErr w:type="spellStart"/>
      <w:r w:rsidR="00C832D9">
        <w:rPr>
          <w:lang w:val="en-US"/>
        </w:rPr>
        <w:t>dršku</w:t>
      </w:r>
      <w:proofErr w:type="spellEnd"/>
      <w:r w:rsidR="00C832D9">
        <w:rPr>
          <w:lang w:val="en-US"/>
        </w:rPr>
        <w:t xml:space="preserve"> </w:t>
      </w:r>
      <w:r w:rsidRPr="004D00E0">
        <w:rPr>
          <w:lang w:val="bs-Cyrl-BA"/>
        </w:rPr>
        <w:t>provedb</w:t>
      </w:r>
      <w:r w:rsidR="00C832D9">
        <w:rPr>
          <w:lang w:val="en-US"/>
        </w:rPr>
        <w:t>e</w:t>
      </w:r>
      <w:r w:rsidRPr="004D00E0">
        <w:rPr>
          <w:lang w:val="bs-Cyrl-BA"/>
        </w:rPr>
        <w:t xml:space="preserve"> Konvencije, u s</w:t>
      </w:r>
      <w:r w:rsidR="00C832D9">
        <w:rPr>
          <w:lang w:val="en-US"/>
        </w:rPr>
        <w:t>a</w:t>
      </w:r>
      <w:r w:rsidRPr="004D00E0">
        <w:rPr>
          <w:lang w:val="bs-Cyrl-BA"/>
        </w:rPr>
        <w:t>radnji s</w:t>
      </w:r>
      <w:r w:rsidR="00C832D9">
        <w:rPr>
          <w:lang w:val="en-US"/>
        </w:rPr>
        <w:t xml:space="preserve">a </w:t>
      </w:r>
      <w:proofErr w:type="spellStart"/>
      <w:r w:rsidR="00C832D9">
        <w:rPr>
          <w:lang w:val="en-US"/>
        </w:rPr>
        <w:t>akterima</w:t>
      </w:r>
      <w:proofErr w:type="spellEnd"/>
      <w:r w:rsidRPr="004D00E0">
        <w:rPr>
          <w:lang w:val="bs-Cyrl-BA"/>
        </w:rPr>
        <w:t>,</w:t>
      </w:r>
      <w:r w:rsidR="00C832D9">
        <w:rPr>
          <w:lang w:val="en-US"/>
        </w:rPr>
        <w:t xml:space="preserve"> </w:t>
      </w:r>
      <w:proofErr w:type="spellStart"/>
      <w:r w:rsidR="009F6358">
        <w:rPr>
          <w:lang w:val="en-US"/>
        </w:rPr>
        <w:t>kao</w:t>
      </w:r>
      <w:proofErr w:type="spellEnd"/>
      <w:r w:rsidR="009F6358">
        <w:rPr>
          <w:lang w:val="en-US"/>
        </w:rPr>
        <w:t xml:space="preserve"> </w:t>
      </w:r>
      <w:proofErr w:type="spellStart"/>
      <w:r w:rsidR="009F6358">
        <w:rPr>
          <w:lang w:val="en-US"/>
        </w:rPr>
        <w:t>što</w:t>
      </w:r>
      <w:proofErr w:type="spellEnd"/>
      <w:r w:rsidR="009F6358">
        <w:rPr>
          <w:lang w:val="en-US"/>
        </w:rPr>
        <w:t xml:space="preserve"> </w:t>
      </w:r>
      <w:proofErr w:type="spellStart"/>
      <w:r w:rsidR="009F6358">
        <w:rPr>
          <w:lang w:val="en-US"/>
        </w:rPr>
        <w:t>su</w:t>
      </w:r>
      <w:proofErr w:type="spellEnd"/>
      <w:r w:rsidR="009F6358">
        <w:rPr>
          <w:lang w:val="en-US"/>
        </w:rPr>
        <w:t xml:space="preserve"> </w:t>
      </w:r>
      <w:r w:rsidRPr="004D00E0">
        <w:rPr>
          <w:lang w:val="bs-Cyrl-BA"/>
        </w:rPr>
        <w:t xml:space="preserve">odgovarajući državni </w:t>
      </w:r>
      <w:proofErr w:type="spellStart"/>
      <w:r w:rsidR="0095178A">
        <w:rPr>
          <w:lang w:val="en-US"/>
        </w:rPr>
        <w:t>zvanični</w:t>
      </w:r>
      <w:r w:rsidR="009F6358">
        <w:rPr>
          <w:lang w:val="en-US"/>
        </w:rPr>
        <w:t>ci</w:t>
      </w:r>
      <w:proofErr w:type="spellEnd"/>
      <w:r w:rsidRPr="004D00E0">
        <w:rPr>
          <w:lang w:val="bs-Cyrl-BA"/>
        </w:rPr>
        <w:t>, predstavni</w:t>
      </w:r>
      <w:r w:rsidR="009F6358">
        <w:rPr>
          <w:lang w:val="en-US"/>
        </w:rPr>
        <w:t>ci</w:t>
      </w:r>
      <w:r w:rsidRPr="004D00E0">
        <w:rPr>
          <w:lang w:val="bs-Cyrl-BA"/>
        </w:rPr>
        <w:t xml:space="preserve"> stanovništva koje je pogođeno problemom mina,</w:t>
      </w:r>
      <w:r w:rsidR="0095178A">
        <w:rPr>
          <w:lang w:val="en-US"/>
        </w:rPr>
        <w:t xml:space="preserve"> </w:t>
      </w:r>
      <w:r w:rsidRPr="004D00E0">
        <w:rPr>
          <w:lang w:val="bs-Cyrl-BA"/>
        </w:rPr>
        <w:t>donator</w:t>
      </w:r>
      <w:proofErr w:type="spellStart"/>
      <w:r w:rsidR="009F6358">
        <w:rPr>
          <w:lang w:val="en-US"/>
        </w:rPr>
        <w:t>i</w:t>
      </w:r>
      <w:proofErr w:type="spellEnd"/>
      <w:r w:rsidRPr="004D00E0">
        <w:rPr>
          <w:lang w:val="bs-Cyrl-BA"/>
        </w:rPr>
        <w:t xml:space="preserve"> za protuminsko djelovanje, </w:t>
      </w:r>
      <w:proofErr w:type="spellStart"/>
      <w:r w:rsidR="0095178A">
        <w:rPr>
          <w:lang w:val="en-US"/>
        </w:rPr>
        <w:t>uključujući</w:t>
      </w:r>
      <w:proofErr w:type="spellEnd"/>
      <w:r w:rsidR="0095178A">
        <w:rPr>
          <w:lang w:val="en-US"/>
        </w:rPr>
        <w:t xml:space="preserve"> </w:t>
      </w:r>
      <w:r w:rsidRPr="004D00E0">
        <w:rPr>
          <w:lang w:val="bs-Cyrl-BA"/>
        </w:rPr>
        <w:t>odgovarajuć</w:t>
      </w:r>
      <w:r w:rsidR="0095178A">
        <w:rPr>
          <w:lang w:val="en-US"/>
        </w:rPr>
        <w:t>e</w:t>
      </w:r>
      <w:r w:rsidRPr="004D00E0">
        <w:rPr>
          <w:lang w:val="bs-Cyrl-BA"/>
        </w:rPr>
        <w:t xml:space="preserve"> subjek</w:t>
      </w:r>
      <w:proofErr w:type="spellStart"/>
      <w:r w:rsidR="0095178A">
        <w:rPr>
          <w:lang w:val="en-US"/>
        </w:rPr>
        <w:t>te</w:t>
      </w:r>
      <w:proofErr w:type="spellEnd"/>
      <w:r w:rsidRPr="004D00E0">
        <w:rPr>
          <w:lang w:val="bs-Cyrl-BA"/>
        </w:rPr>
        <w:t xml:space="preserve"> Unije, organizacij</w:t>
      </w:r>
      <w:r w:rsidR="0095178A">
        <w:rPr>
          <w:lang w:val="en-US"/>
        </w:rPr>
        <w:t>e</w:t>
      </w:r>
      <w:r w:rsidRPr="004D00E0">
        <w:rPr>
          <w:lang w:val="bs-Cyrl-BA"/>
        </w:rPr>
        <w:t xml:space="preserve"> za</w:t>
      </w:r>
      <w:r w:rsidR="0095178A">
        <w:rPr>
          <w:lang w:val="en-US"/>
        </w:rPr>
        <w:t xml:space="preserve"> </w:t>
      </w:r>
      <w:r w:rsidR="00607F99">
        <w:rPr>
          <w:lang w:val="bs-Cyrl-BA"/>
        </w:rPr>
        <w:t>deminiranje</w:t>
      </w:r>
      <w:r w:rsidRPr="004D00E0">
        <w:rPr>
          <w:lang w:val="bs-Cyrl-BA"/>
        </w:rPr>
        <w:t>, Međunarodn</w:t>
      </w:r>
      <w:r w:rsidR="0095178A">
        <w:rPr>
          <w:lang w:val="en-US"/>
        </w:rPr>
        <w:t>u</w:t>
      </w:r>
      <w:r w:rsidRPr="004D00E0">
        <w:rPr>
          <w:lang w:val="bs-Cyrl-BA"/>
        </w:rPr>
        <w:t xml:space="preserve"> kampanj</w:t>
      </w:r>
      <w:r w:rsidR="0095178A">
        <w:rPr>
          <w:lang w:val="en-US"/>
        </w:rPr>
        <w:t>u</w:t>
      </w:r>
      <w:r w:rsidRPr="004D00E0">
        <w:rPr>
          <w:lang w:val="bs-Cyrl-BA"/>
        </w:rPr>
        <w:t xml:space="preserve"> za zabranu protupješa</w:t>
      </w:r>
      <w:proofErr w:type="spellStart"/>
      <w:r w:rsidR="0095178A">
        <w:rPr>
          <w:lang w:val="en-US"/>
        </w:rPr>
        <w:t>dijskih</w:t>
      </w:r>
      <w:proofErr w:type="spellEnd"/>
      <w:r w:rsidRPr="004D00E0">
        <w:rPr>
          <w:lang w:val="bs-Cyrl-BA"/>
        </w:rPr>
        <w:t xml:space="preserve"> mina, agencij</w:t>
      </w:r>
      <w:r w:rsidR="0095178A">
        <w:rPr>
          <w:lang w:val="en-US"/>
        </w:rPr>
        <w:t>e</w:t>
      </w:r>
      <w:r w:rsidRPr="004D00E0">
        <w:rPr>
          <w:lang w:val="bs-Cyrl-BA"/>
        </w:rPr>
        <w:t xml:space="preserve"> Ujedinjenih naroda</w:t>
      </w:r>
      <w:r w:rsidR="0095178A">
        <w:rPr>
          <w:lang w:val="en-US"/>
        </w:rPr>
        <w:t xml:space="preserve"> </w:t>
      </w:r>
      <w:r w:rsidRPr="004D00E0">
        <w:rPr>
          <w:lang w:val="bs-Cyrl-BA"/>
        </w:rPr>
        <w:t>i Međunarodn</w:t>
      </w:r>
      <w:proofErr w:type="spellStart"/>
      <w:r w:rsidR="0095178A">
        <w:rPr>
          <w:lang w:val="en-US"/>
        </w:rPr>
        <w:t>i</w:t>
      </w:r>
      <w:proofErr w:type="spellEnd"/>
      <w:r w:rsidRPr="004D00E0">
        <w:rPr>
          <w:lang w:val="bs-Cyrl-BA"/>
        </w:rPr>
        <w:t xml:space="preserve"> cent</w:t>
      </w:r>
      <w:r w:rsidR="0095178A">
        <w:rPr>
          <w:lang w:val="en-US"/>
        </w:rPr>
        <w:t>a</w:t>
      </w:r>
      <w:r w:rsidRPr="004D00E0">
        <w:rPr>
          <w:lang w:val="bs-Cyrl-BA"/>
        </w:rPr>
        <w:t xml:space="preserve">r za humanitarno </w:t>
      </w:r>
      <w:r w:rsidR="00607F99">
        <w:rPr>
          <w:lang w:val="bs-Cyrl-BA"/>
        </w:rPr>
        <w:t>deminiranje</w:t>
      </w:r>
      <w:r w:rsidRPr="004D00E0">
        <w:rPr>
          <w:lang w:val="bs-Cyrl-BA"/>
        </w:rPr>
        <w:t xml:space="preserve"> u Ženevi. Prema potrebi, ti ključni akteri </w:t>
      </w:r>
      <w:proofErr w:type="spellStart"/>
      <w:r w:rsidR="009F6358">
        <w:rPr>
          <w:lang w:val="en-US"/>
        </w:rPr>
        <w:t>će</w:t>
      </w:r>
      <w:proofErr w:type="spellEnd"/>
      <w:r w:rsidR="009F6358">
        <w:rPr>
          <w:lang w:val="en-US"/>
        </w:rPr>
        <w:t xml:space="preserve"> </w:t>
      </w:r>
      <w:r w:rsidRPr="004D00E0">
        <w:rPr>
          <w:lang w:val="bs-Cyrl-BA"/>
        </w:rPr>
        <w:t>bit</w:t>
      </w:r>
      <w:proofErr w:type="spellStart"/>
      <w:r w:rsidR="009F6358">
        <w:rPr>
          <w:lang w:val="en-US"/>
        </w:rPr>
        <w:t>i</w:t>
      </w:r>
      <w:proofErr w:type="spellEnd"/>
      <w:r w:rsidR="009F6358">
        <w:rPr>
          <w:lang w:val="en-US"/>
        </w:rPr>
        <w:t xml:space="preserve"> </w:t>
      </w:r>
      <w:proofErr w:type="spellStart"/>
      <w:r w:rsidR="0095178A">
        <w:rPr>
          <w:lang w:val="en-US"/>
        </w:rPr>
        <w:t>direktno</w:t>
      </w:r>
      <w:proofErr w:type="spellEnd"/>
      <w:r w:rsidR="0095178A">
        <w:rPr>
          <w:lang w:val="en-US"/>
        </w:rPr>
        <w:t xml:space="preserve"> </w:t>
      </w:r>
      <w:r w:rsidRPr="004D00E0">
        <w:rPr>
          <w:lang w:val="bs-Cyrl-BA"/>
        </w:rPr>
        <w:t>uključeni u provedbu projekta pod u</w:t>
      </w:r>
      <w:proofErr w:type="spellStart"/>
      <w:r w:rsidR="0095178A">
        <w:rPr>
          <w:lang w:val="en-US"/>
        </w:rPr>
        <w:t>slovima</w:t>
      </w:r>
      <w:proofErr w:type="spellEnd"/>
      <w:r w:rsidRPr="004D00E0">
        <w:rPr>
          <w:lang w:val="bs-Cyrl-BA"/>
        </w:rPr>
        <w:t xml:space="preserve"> koji se trebaju izraditi u izjavi o </w:t>
      </w:r>
      <w:proofErr w:type="spellStart"/>
      <w:r w:rsidR="0095178A">
        <w:rPr>
          <w:lang w:val="en-US"/>
        </w:rPr>
        <w:t>budžetskom</w:t>
      </w:r>
      <w:proofErr w:type="spellEnd"/>
      <w:r w:rsidR="0095178A">
        <w:rPr>
          <w:lang w:val="en-US"/>
        </w:rPr>
        <w:t xml:space="preserve"> </w:t>
      </w:r>
      <w:r w:rsidRPr="004D00E0">
        <w:rPr>
          <w:lang w:val="bs-Cyrl-BA"/>
        </w:rPr>
        <w:t>učinku. Dijalozi</w:t>
      </w:r>
      <w:r w:rsidR="0095178A">
        <w:rPr>
          <w:lang w:val="en-US"/>
        </w:rPr>
        <w:t xml:space="preserve"> </w:t>
      </w:r>
      <w:r w:rsidRPr="004D00E0">
        <w:rPr>
          <w:lang w:val="bs-Cyrl-BA"/>
        </w:rPr>
        <w:t>će dovesti do izrade detaljnog završnog dokumenta u kojem će se naglasiti posebne informacije o geografiji</w:t>
      </w:r>
      <w:r w:rsidR="004A70BC">
        <w:rPr>
          <w:lang w:val="en-US"/>
        </w:rPr>
        <w:t xml:space="preserve"> </w:t>
      </w:r>
      <w:r w:rsidRPr="004D00E0">
        <w:rPr>
          <w:lang w:val="bs-Cyrl-BA"/>
        </w:rPr>
        <w:t xml:space="preserve">preostalih područja kojima je potreban pregled i </w:t>
      </w:r>
      <w:r w:rsidR="004A70BC">
        <w:rPr>
          <w:lang w:val="en-US"/>
        </w:rPr>
        <w:t>de</w:t>
      </w:r>
      <w:r w:rsidRPr="004D00E0">
        <w:rPr>
          <w:lang w:val="bs-Cyrl-BA"/>
        </w:rPr>
        <w:t>miniranje, metodologije za bavljenje preostalim</w:t>
      </w:r>
      <w:r w:rsidR="00174DB0">
        <w:rPr>
          <w:lang w:val="en-US"/>
        </w:rPr>
        <w:t xml:space="preserve"> </w:t>
      </w:r>
      <w:r w:rsidRPr="004D00E0">
        <w:rPr>
          <w:lang w:val="bs-Cyrl-BA"/>
        </w:rPr>
        <w:t>područjima i izazovima koji stoje na putu ispunjenj</w:t>
      </w:r>
      <w:r w:rsidR="00174DB0">
        <w:rPr>
          <w:lang w:val="en-US"/>
        </w:rPr>
        <w:t>a</w:t>
      </w:r>
      <w:r w:rsidRPr="004D00E0">
        <w:rPr>
          <w:lang w:val="bs-Cyrl-BA"/>
        </w:rPr>
        <w:t xml:space="preserve"> ob</w:t>
      </w:r>
      <w:r w:rsidR="00174DB0">
        <w:rPr>
          <w:lang w:val="en-US"/>
        </w:rPr>
        <w:t>a</w:t>
      </w:r>
      <w:r w:rsidRPr="004D00E0">
        <w:rPr>
          <w:lang w:val="bs-Cyrl-BA"/>
        </w:rPr>
        <w:t>veza razminiranja</w:t>
      </w:r>
      <w:r w:rsidR="00174DB0">
        <w:rPr>
          <w:lang w:val="en-US"/>
        </w:rPr>
        <w:t>,</w:t>
      </w:r>
      <w:r w:rsidRPr="004D00E0">
        <w:rPr>
          <w:lang w:val="bs-Cyrl-BA"/>
        </w:rPr>
        <w:t xml:space="preserve"> te preporuke o prevladavanju tih</w:t>
      </w:r>
      <w:r w:rsidR="00174DB0">
        <w:rPr>
          <w:lang w:val="en-US"/>
        </w:rPr>
        <w:t xml:space="preserve"> </w:t>
      </w:r>
      <w:r w:rsidRPr="004D00E0">
        <w:rPr>
          <w:lang w:val="bs-Cyrl-BA"/>
        </w:rPr>
        <w:t xml:space="preserve">izazova, kao i ključne etape za rješavanje utvrđenih izazova. Na </w:t>
      </w:r>
      <w:proofErr w:type="spellStart"/>
      <w:r w:rsidR="00174DB0">
        <w:rPr>
          <w:lang w:val="en-US"/>
        </w:rPr>
        <w:t>nivou</w:t>
      </w:r>
      <w:proofErr w:type="spellEnd"/>
      <w:r w:rsidR="00174DB0">
        <w:rPr>
          <w:lang w:val="en-US"/>
        </w:rPr>
        <w:t xml:space="preserve"> </w:t>
      </w:r>
      <w:r w:rsidRPr="004D00E0">
        <w:rPr>
          <w:lang w:val="bs-Cyrl-BA"/>
        </w:rPr>
        <w:t>osmišljavanja, upravljanja</w:t>
      </w:r>
      <w:r w:rsidR="00174DB0">
        <w:rPr>
          <w:lang w:val="en-US"/>
        </w:rPr>
        <w:t xml:space="preserve"> </w:t>
      </w:r>
      <w:r w:rsidRPr="004D00E0">
        <w:rPr>
          <w:lang w:val="bs-Cyrl-BA"/>
        </w:rPr>
        <w:t xml:space="preserve">i provedbe, dijalozi nacionalnih </w:t>
      </w:r>
      <w:proofErr w:type="spellStart"/>
      <w:r w:rsidR="00174DB0">
        <w:rPr>
          <w:lang w:val="en-US"/>
        </w:rPr>
        <w:t>aktera</w:t>
      </w:r>
      <w:proofErr w:type="spellEnd"/>
      <w:r w:rsidR="00174DB0">
        <w:rPr>
          <w:lang w:val="en-US"/>
        </w:rPr>
        <w:t xml:space="preserve"> </w:t>
      </w:r>
      <w:proofErr w:type="spellStart"/>
      <w:r w:rsidR="00174DB0">
        <w:rPr>
          <w:lang w:val="en-US"/>
        </w:rPr>
        <w:t>će</w:t>
      </w:r>
      <w:proofErr w:type="spellEnd"/>
      <w:r w:rsidRPr="004D00E0">
        <w:rPr>
          <w:lang w:val="bs-Cyrl-BA"/>
        </w:rPr>
        <w:t xml:space="preserve"> uključivat</w:t>
      </w:r>
      <w:proofErr w:type="spellStart"/>
      <w:r w:rsidR="00174DB0">
        <w:rPr>
          <w:lang w:val="en-US"/>
        </w:rPr>
        <w:t>i</w:t>
      </w:r>
      <w:proofErr w:type="spellEnd"/>
      <w:r w:rsidR="00174DB0">
        <w:rPr>
          <w:lang w:val="en-US"/>
        </w:rPr>
        <w:t xml:space="preserve"> </w:t>
      </w:r>
      <w:r w:rsidRPr="004D00E0">
        <w:rPr>
          <w:lang w:val="bs-Cyrl-BA"/>
        </w:rPr>
        <w:t>rodne aspekte i aspekte različitosti.</w:t>
      </w:r>
    </w:p>
    <w:p w:rsidR="004D00E0" w:rsidRPr="004D00E0" w:rsidRDefault="004D00E0" w:rsidP="00E31F36">
      <w:pPr>
        <w:jc w:val="both"/>
        <w:rPr>
          <w:lang w:val="bs-Cyrl-BA"/>
        </w:rPr>
      </w:pPr>
      <w:r w:rsidRPr="004D00E0">
        <w:rPr>
          <w:lang w:val="bs-Cyrl-BA"/>
        </w:rPr>
        <w:t>— Poduzet će se daljnje mjere u najviše pet slučajeva kao odgovor na preporuke iz završnih dokumenata. Tim</w:t>
      </w:r>
      <w:r w:rsidR="006C5F86">
        <w:rPr>
          <w:lang w:val="en-US"/>
        </w:rPr>
        <w:t xml:space="preserve"> </w:t>
      </w:r>
      <w:r w:rsidRPr="004D00E0">
        <w:rPr>
          <w:lang w:val="bs-Cyrl-BA"/>
        </w:rPr>
        <w:t>daljnjim mjerama pružit će se dodatna tehnička po</w:t>
      </w:r>
      <w:proofErr w:type="spellStart"/>
      <w:r w:rsidR="006C5F86">
        <w:rPr>
          <w:lang w:val="en-US"/>
        </w:rPr>
        <w:t>drška</w:t>
      </w:r>
      <w:proofErr w:type="spellEnd"/>
      <w:r w:rsidRPr="004D00E0">
        <w:rPr>
          <w:lang w:val="bs-Cyrl-BA"/>
        </w:rPr>
        <w:t xml:space="preserve"> odjela za po</w:t>
      </w:r>
      <w:proofErr w:type="spellStart"/>
      <w:r w:rsidR="006C5F86">
        <w:rPr>
          <w:lang w:val="en-US"/>
        </w:rPr>
        <w:t>dršku</w:t>
      </w:r>
      <w:proofErr w:type="spellEnd"/>
      <w:r w:rsidRPr="004D00E0">
        <w:rPr>
          <w:lang w:val="bs-Cyrl-BA"/>
        </w:rPr>
        <w:t xml:space="preserve"> provedbi Konvencije (npr. </w:t>
      </w:r>
      <w:proofErr w:type="gramStart"/>
      <w:r w:rsidR="006C5F86">
        <w:rPr>
          <w:lang w:val="en-US"/>
        </w:rPr>
        <w:t>z</w:t>
      </w:r>
      <w:r w:rsidRPr="004D00E0">
        <w:rPr>
          <w:lang w:val="bs-Cyrl-BA"/>
        </w:rPr>
        <w:t>a</w:t>
      </w:r>
      <w:proofErr w:type="gramEnd"/>
      <w:r w:rsidR="006C5F86">
        <w:rPr>
          <w:lang w:val="en-US"/>
        </w:rPr>
        <w:t xml:space="preserve"> </w:t>
      </w:r>
      <w:r w:rsidRPr="004D00E0">
        <w:rPr>
          <w:lang w:val="bs-Cyrl-BA"/>
        </w:rPr>
        <w:t xml:space="preserve">izradu/ažuriranje nacionalnih planova djelovanja za </w:t>
      </w:r>
      <w:r w:rsidR="00607F99">
        <w:rPr>
          <w:lang w:val="bs-Cyrl-BA"/>
        </w:rPr>
        <w:t>deminiranje</w:t>
      </w:r>
      <w:r w:rsidRPr="004D00E0">
        <w:rPr>
          <w:lang w:val="bs-Cyrl-BA"/>
        </w:rPr>
        <w:t>, izradu projektnog prijedloga ili prijedlogâ</w:t>
      </w:r>
      <w:r w:rsidR="006C5F86">
        <w:rPr>
          <w:lang w:val="en-US"/>
        </w:rPr>
        <w:t xml:space="preserve"> </w:t>
      </w:r>
      <w:r w:rsidRPr="004D00E0">
        <w:rPr>
          <w:lang w:val="bs-Cyrl-BA"/>
        </w:rPr>
        <w:t>itd.).</w:t>
      </w:r>
    </w:p>
    <w:p w:rsidR="004D00E0" w:rsidRPr="004D00E0" w:rsidRDefault="004D00E0" w:rsidP="00E31F36">
      <w:pPr>
        <w:jc w:val="both"/>
        <w:rPr>
          <w:b/>
          <w:bCs/>
          <w:lang w:val="bs-Cyrl-BA"/>
        </w:rPr>
      </w:pPr>
      <w:r w:rsidRPr="004D00E0">
        <w:rPr>
          <w:b/>
          <w:bCs/>
          <w:lang w:val="bs-Cyrl-BA"/>
        </w:rPr>
        <w:t>2.1.3. Rezultati projekta</w:t>
      </w:r>
    </w:p>
    <w:p w:rsidR="004D00E0" w:rsidRPr="004D00E0" w:rsidRDefault="004D00E0" w:rsidP="00E31F36">
      <w:pPr>
        <w:jc w:val="both"/>
        <w:rPr>
          <w:lang w:val="bs-Cyrl-BA"/>
        </w:rPr>
      </w:pPr>
      <w:r w:rsidRPr="004D00E0">
        <w:rPr>
          <w:lang w:val="bs-Cyrl-BA"/>
        </w:rPr>
        <w:t xml:space="preserve">— Iz dijaloga </w:t>
      </w:r>
      <w:proofErr w:type="spellStart"/>
      <w:r w:rsidR="006C5F86">
        <w:rPr>
          <w:lang w:val="en-US"/>
        </w:rPr>
        <w:t>aktera</w:t>
      </w:r>
      <w:proofErr w:type="spellEnd"/>
      <w:r w:rsidRPr="004D00E0">
        <w:rPr>
          <w:lang w:val="bs-Cyrl-BA"/>
        </w:rPr>
        <w:t xml:space="preserve"> proizaći će detaljan završni dokument kojim se utvrđuju preostali izazovi, s</w:t>
      </w:r>
      <w:r w:rsidR="006C5F86">
        <w:rPr>
          <w:lang w:val="en-US"/>
        </w:rPr>
        <w:t>a</w:t>
      </w:r>
      <w:r w:rsidRPr="004D00E0">
        <w:rPr>
          <w:lang w:val="bs-Cyrl-BA"/>
        </w:rPr>
        <w:t xml:space="preserve"> ciljevima,</w:t>
      </w:r>
      <w:r w:rsidR="006C5F86">
        <w:rPr>
          <w:lang w:val="en-US"/>
        </w:rPr>
        <w:t xml:space="preserve"> </w:t>
      </w:r>
      <w:r w:rsidRPr="004D00E0">
        <w:rPr>
          <w:lang w:val="bs-Cyrl-BA"/>
        </w:rPr>
        <w:t>vremenskim rokovima i preporukama za daljnje djelovanje.</w:t>
      </w:r>
    </w:p>
    <w:p w:rsidR="004D00E0" w:rsidRPr="004D00E0" w:rsidRDefault="004D00E0" w:rsidP="00E31F36">
      <w:pPr>
        <w:jc w:val="both"/>
        <w:rPr>
          <w:lang w:val="bs-Cyrl-BA"/>
        </w:rPr>
      </w:pPr>
      <w:r w:rsidRPr="004D00E0">
        <w:rPr>
          <w:lang w:val="bs-Cyrl-BA"/>
        </w:rPr>
        <w:t xml:space="preserve">— Države stranke odabrane za dijaloge nacionalnih </w:t>
      </w:r>
      <w:proofErr w:type="spellStart"/>
      <w:r w:rsidR="006C5F86">
        <w:rPr>
          <w:lang w:val="en-US"/>
        </w:rPr>
        <w:t>aktera</w:t>
      </w:r>
      <w:proofErr w:type="spellEnd"/>
      <w:r w:rsidRPr="004D00E0">
        <w:rPr>
          <w:lang w:val="bs-Cyrl-BA"/>
        </w:rPr>
        <w:t xml:space="preserve"> </w:t>
      </w:r>
      <w:proofErr w:type="spellStart"/>
      <w:r w:rsidR="006C5F86">
        <w:rPr>
          <w:lang w:val="en-US"/>
        </w:rPr>
        <w:t>će</w:t>
      </w:r>
      <w:proofErr w:type="spellEnd"/>
      <w:r w:rsidR="006C5F86">
        <w:rPr>
          <w:lang w:val="en-US"/>
        </w:rPr>
        <w:t xml:space="preserve"> </w:t>
      </w:r>
      <w:r w:rsidRPr="004D00E0">
        <w:rPr>
          <w:lang w:val="bs-Cyrl-BA"/>
        </w:rPr>
        <w:t>moći</w:t>
      </w:r>
      <w:r w:rsidR="006C5F86">
        <w:rPr>
          <w:lang w:val="en-US"/>
        </w:rPr>
        <w:t xml:space="preserve"> </w:t>
      </w:r>
      <w:r w:rsidRPr="004D00E0">
        <w:rPr>
          <w:lang w:val="bs-Cyrl-BA"/>
        </w:rPr>
        <w:t>jasno izraziti stanje provedbe Konvencije</w:t>
      </w:r>
      <w:r w:rsidR="006C5F86">
        <w:rPr>
          <w:lang w:val="en-US"/>
        </w:rPr>
        <w:t xml:space="preserve"> </w:t>
      </w:r>
      <w:r w:rsidRPr="004D00E0">
        <w:rPr>
          <w:lang w:val="bs-Cyrl-BA"/>
        </w:rPr>
        <w:t>i Akci</w:t>
      </w:r>
      <w:proofErr w:type="spellStart"/>
      <w:r w:rsidR="006C5F86">
        <w:rPr>
          <w:lang w:val="en-US"/>
        </w:rPr>
        <w:t>onog</w:t>
      </w:r>
      <w:proofErr w:type="spellEnd"/>
      <w:r w:rsidRPr="004D00E0">
        <w:rPr>
          <w:lang w:val="bs-Cyrl-BA"/>
        </w:rPr>
        <w:t xml:space="preserve"> plana iz Maputa te poboljšati svoje godišnje izvješ</w:t>
      </w:r>
      <w:proofErr w:type="spellStart"/>
      <w:r w:rsidR="002D6DDA">
        <w:rPr>
          <w:lang w:val="en-US"/>
        </w:rPr>
        <w:t>tavanje</w:t>
      </w:r>
      <w:proofErr w:type="spellEnd"/>
      <w:r w:rsidRPr="004D00E0">
        <w:rPr>
          <w:lang w:val="bs-Cyrl-BA"/>
        </w:rPr>
        <w:t xml:space="preserve"> država stranaka o provedbi svojih</w:t>
      </w:r>
      <w:r w:rsidR="002D6DDA">
        <w:rPr>
          <w:lang w:val="en-US"/>
        </w:rPr>
        <w:t xml:space="preserve"> </w:t>
      </w:r>
      <w:r w:rsidRPr="004D00E0">
        <w:rPr>
          <w:lang w:val="bs-Cyrl-BA"/>
        </w:rPr>
        <w:t>ob</w:t>
      </w:r>
      <w:r w:rsidR="002D6DDA">
        <w:rPr>
          <w:lang w:val="en-US"/>
        </w:rPr>
        <w:t>a</w:t>
      </w:r>
      <w:r w:rsidRPr="004D00E0">
        <w:rPr>
          <w:lang w:val="bs-Cyrl-BA"/>
        </w:rPr>
        <w:t>veza do utvrđenog roka.</w:t>
      </w:r>
    </w:p>
    <w:p w:rsidR="004D00E0" w:rsidRPr="004D00E0" w:rsidRDefault="004D00E0" w:rsidP="00E31F36">
      <w:pPr>
        <w:jc w:val="both"/>
        <w:rPr>
          <w:lang w:val="bs-Cyrl-BA"/>
        </w:rPr>
      </w:pPr>
      <w:r w:rsidRPr="004D00E0">
        <w:rPr>
          <w:lang w:val="bs-Cyrl-BA"/>
        </w:rPr>
        <w:lastRenderedPageBreak/>
        <w:t xml:space="preserve">— Odabrane države </w:t>
      </w:r>
      <w:proofErr w:type="spellStart"/>
      <w:r w:rsidR="008F4285">
        <w:rPr>
          <w:lang w:val="en-US"/>
        </w:rPr>
        <w:t>će</w:t>
      </w:r>
      <w:proofErr w:type="spellEnd"/>
      <w:r w:rsidR="008F4285">
        <w:rPr>
          <w:lang w:val="en-US"/>
        </w:rPr>
        <w:t xml:space="preserve"> </w:t>
      </w:r>
      <w:r w:rsidRPr="004D00E0">
        <w:rPr>
          <w:lang w:val="bs-Cyrl-BA"/>
        </w:rPr>
        <w:t>razvit</w:t>
      </w:r>
      <w:proofErr w:type="spellStart"/>
      <w:r w:rsidR="008F4285">
        <w:rPr>
          <w:lang w:val="en-US"/>
        </w:rPr>
        <w:t>i</w:t>
      </w:r>
      <w:proofErr w:type="spellEnd"/>
      <w:r w:rsidR="008F4285">
        <w:rPr>
          <w:lang w:val="en-US"/>
        </w:rPr>
        <w:t xml:space="preserve"> </w:t>
      </w:r>
      <w:r w:rsidRPr="004D00E0">
        <w:rPr>
          <w:lang w:val="bs-Cyrl-BA"/>
        </w:rPr>
        <w:t xml:space="preserve">dobre prakse za izgradnju i poticanje partnerstava, </w:t>
      </w:r>
      <w:proofErr w:type="spellStart"/>
      <w:r w:rsidR="008F4285">
        <w:rPr>
          <w:lang w:val="en-US"/>
        </w:rPr>
        <w:t>iz</w:t>
      </w:r>
      <w:proofErr w:type="spellEnd"/>
      <w:r w:rsidRPr="004D00E0">
        <w:rPr>
          <w:lang w:val="bs-Cyrl-BA"/>
        </w:rPr>
        <w:t>među ostal</w:t>
      </w:r>
      <w:proofErr w:type="spellStart"/>
      <w:r w:rsidR="008F4285">
        <w:rPr>
          <w:lang w:val="en-US"/>
        </w:rPr>
        <w:t>og</w:t>
      </w:r>
      <w:proofErr w:type="spellEnd"/>
      <w:r w:rsidRPr="004D00E0">
        <w:rPr>
          <w:lang w:val="bs-Cyrl-BA"/>
        </w:rPr>
        <w:t xml:space="preserve"> s</w:t>
      </w:r>
      <w:r w:rsidR="008F4285">
        <w:rPr>
          <w:lang w:val="en-US"/>
        </w:rPr>
        <w:t>a</w:t>
      </w:r>
      <w:r w:rsidRPr="004D00E0">
        <w:rPr>
          <w:lang w:val="bs-Cyrl-BA"/>
        </w:rPr>
        <w:t xml:space="preserve"> donatorima</w:t>
      </w:r>
      <w:r w:rsidR="008F4285">
        <w:rPr>
          <w:lang w:val="en-US"/>
        </w:rPr>
        <w:t xml:space="preserve"> </w:t>
      </w:r>
      <w:r w:rsidRPr="004D00E0">
        <w:rPr>
          <w:lang w:val="bs-Cyrl-BA"/>
        </w:rPr>
        <w:t xml:space="preserve">i organizacijama za </w:t>
      </w:r>
      <w:r w:rsidR="00607F99">
        <w:rPr>
          <w:lang w:val="bs-Cyrl-BA"/>
        </w:rPr>
        <w:t>deminiranje</w:t>
      </w:r>
      <w:r w:rsidRPr="004D00E0">
        <w:rPr>
          <w:lang w:val="bs-Cyrl-BA"/>
        </w:rPr>
        <w:t>, kako bi se osigurala njihova po</w:t>
      </w:r>
      <w:proofErr w:type="spellStart"/>
      <w:r w:rsidR="008F4285">
        <w:rPr>
          <w:lang w:val="en-US"/>
        </w:rPr>
        <w:t>drška</w:t>
      </w:r>
      <w:proofErr w:type="spellEnd"/>
      <w:r w:rsidRPr="004D00E0">
        <w:rPr>
          <w:lang w:val="bs-Cyrl-BA"/>
        </w:rPr>
        <w:t xml:space="preserve"> naporima za ispunj</w:t>
      </w:r>
      <w:proofErr w:type="spellStart"/>
      <w:r w:rsidR="008F4285">
        <w:rPr>
          <w:lang w:val="en-US"/>
        </w:rPr>
        <w:t>avanje</w:t>
      </w:r>
      <w:proofErr w:type="spellEnd"/>
      <w:r w:rsidR="008F4285">
        <w:rPr>
          <w:lang w:val="en-US"/>
        </w:rPr>
        <w:t xml:space="preserve"> </w:t>
      </w:r>
      <w:r w:rsidRPr="004D00E0">
        <w:rPr>
          <w:lang w:val="bs-Cyrl-BA"/>
        </w:rPr>
        <w:t>ob</w:t>
      </w:r>
      <w:r w:rsidR="008F4285">
        <w:rPr>
          <w:lang w:val="en-US"/>
        </w:rPr>
        <w:t>a</w:t>
      </w:r>
      <w:r w:rsidRPr="004D00E0">
        <w:rPr>
          <w:lang w:val="bs-Cyrl-BA"/>
        </w:rPr>
        <w:t>veza</w:t>
      </w:r>
      <w:r w:rsidR="008F4285">
        <w:rPr>
          <w:lang w:val="en-US"/>
        </w:rPr>
        <w:t xml:space="preserve"> </w:t>
      </w:r>
      <w:r w:rsidRPr="004D00E0">
        <w:rPr>
          <w:lang w:val="bs-Cyrl-BA"/>
        </w:rPr>
        <w:t>u najkraćem mogućem roku.</w:t>
      </w:r>
    </w:p>
    <w:p w:rsidR="004D00E0" w:rsidRPr="004D00E0" w:rsidRDefault="004D00E0" w:rsidP="00E31F36">
      <w:pPr>
        <w:jc w:val="both"/>
        <w:rPr>
          <w:lang w:val="bs-Cyrl-BA"/>
        </w:rPr>
      </w:pPr>
      <w:r w:rsidRPr="004D00E0">
        <w:rPr>
          <w:lang w:val="bs-Cyrl-BA"/>
        </w:rPr>
        <w:t xml:space="preserve">— Odabrane države </w:t>
      </w:r>
      <w:proofErr w:type="spellStart"/>
      <w:r w:rsidR="008F4285">
        <w:rPr>
          <w:lang w:val="en-US"/>
        </w:rPr>
        <w:t>će</w:t>
      </w:r>
      <w:proofErr w:type="spellEnd"/>
      <w:r w:rsidR="008F4285">
        <w:rPr>
          <w:lang w:val="en-US"/>
        </w:rPr>
        <w:t xml:space="preserve"> </w:t>
      </w:r>
      <w:r w:rsidRPr="004D00E0">
        <w:rPr>
          <w:lang w:val="bs-Cyrl-BA"/>
        </w:rPr>
        <w:t>moći</w:t>
      </w:r>
      <w:r w:rsidR="008F4285">
        <w:rPr>
          <w:lang w:val="en-US"/>
        </w:rPr>
        <w:t xml:space="preserve"> </w:t>
      </w:r>
      <w:r w:rsidRPr="004D00E0">
        <w:rPr>
          <w:lang w:val="bs-Cyrl-BA"/>
        </w:rPr>
        <w:t>jasnije izraziti svoje namjere za ispunj</w:t>
      </w:r>
      <w:proofErr w:type="spellStart"/>
      <w:r w:rsidR="008F4285">
        <w:rPr>
          <w:lang w:val="en-US"/>
        </w:rPr>
        <w:t>avanje</w:t>
      </w:r>
      <w:proofErr w:type="spellEnd"/>
      <w:r w:rsidRPr="004D00E0">
        <w:rPr>
          <w:lang w:val="bs-Cyrl-BA"/>
        </w:rPr>
        <w:t xml:space="preserve"> ob</w:t>
      </w:r>
      <w:r w:rsidR="008F4285">
        <w:rPr>
          <w:lang w:val="en-US"/>
        </w:rPr>
        <w:t>a</w:t>
      </w:r>
      <w:r w:rsidRPr="004D00E0">
        <w:rPr>
          <w:lang w:val="bs-Cyrl-BA"/>
        </w:rPr>
        <w:t>veza iz Akci</w:t>
      </w:r>
      <w:proofErr w:type="spellStart"/>
      <w:r w:rsidR="008F4285">
        <w:rPr>
          <w:lang w:val="en-US"/>
        </w:rPr>
        <w:t>o</w:t>
      </w:r>
      <w:r w:rsidR="0056240A">
        <w:rPr>
          <w:lang w:val="en-US"/>
        </w:rPr>
        <w:t>n</w:t>
      </w:r>
      <w:r w:rsidR="008F4285">
        <w:rPr>
          <w:lang w:val="en-US"/>
        </w:rPr>
        <w:t>og</w:t>
      </w:r>
      <w:proofErr w:type="spellEnd"/>
      <w:r w:rsidRPr="004D00E0">
        <w:rPr>
          <w:lang w:val="bs-Cyrl-BA"/>
        </w:rPr>
        <w:t xml:space="preserve"> plana iz Maputa</w:t>
      </w:r>
      <w:r w:rsidR="008F4285">
        <w:rPr>
          <w:lang w:val="en-US"/>
        </w:rPr>
        <w:t>,</w:t>
      </w:r>
      <w:r w:rsidRPr="004D00E0">
        <w:rPr>
          <w:lang w:val="bs-Cyrl-BA"/>
        </w:rPr>
        <w:t xml:space="preserve"> te</w:t>
      </w:r>
      <w:r w:rsidR="008F4285">
        <w:rPr>
          <w:lang w:val="en-US"/>
        </w:rPr>
        <w:t xml:space="preserve"> </w:t>
      </w:r>
      <w:r w:rsidRPr="004D00E0">
        <w:rPr>
          <w:lang w:val="bs-Cyrl-BA"/>
        </w:rPr>
        <w:t>svoju potrebu za po</w:t>
      </w:r>
      <w:proofErr w:type="spellStart"/>
      <w:r w:rsidR="008F4285">
        <w:rPr>
          <w:lang w:val="en-US"/>
        </w:rPr>
        <w:t>drškom</w:t>
      </w:r>
      <w:proofErr w:type="spellEnd"/>
      <w:r w:rsidRPr="004D00E0">
        <w:rPr>
          <w:lang w:val="bs-Cyrl-BA"/>
        </w:rPr>
        <w:t xml:space="preserve">, na primjer za izradu i ažuriranje nacionalnih planova djelovanja za </w:t>
      </w:r>
      <w:r w:rsidR="00607F99">
        <w:rPr>
          <w:lang w:val="bs-Cyrl-BA"/>
        </w:rPr>
        <w:t>deminiranje</w:t>
      </w:r>
      <w:r w:rsidRPr="004D00E0">
        <w:rPr>
          <w:lang w:val="bs-Cyrl-BA"/>
        </w:rPr>
        <w:t>,</w:t>
      </w:r>
      <w:r w:rsidR="008F4285">
        <w:rPr>
          <w:lang w:val="en-US"/>
        </w:rPr>
        <w:t xml:space="preserve"> </w:t>
      </w:r>
      <w:r w:rsidRPr="004D00E0">
        <w:rPr>
          <w:lang w:val="bs-Cyrl-BA"/>
        </w:rPr>
        <w:t>izradu projektnog prijedloga ili prijedlogâ.</w:t>
      </w:r>
    </w:p>
    <w:p w:rsidR="004D00E0" w:rsidRPr="004D00E0" w:rsidRDefault="004D00E0" w:rsidP="00E31F36">
      <w:pPr>
        <w:jc w:val="both"/>
        <w:rPr>
          <w:b/>
          <w:bCs/>
          <w:lang w:val="bs-Cyrl-BA"/>
        </w:rPr>
      </w:pPr>
      <w:r w:rsidRPr="004D00E0">
        <w:rPr>
          <w:b/>
          <w:bCs/>
          <w:lang w:val="bs-Cyrl-BA"/>
        </w:rPr>
        <w:t>2.1.4. Korisnici</w:t>
      </w:r>
    </w:p>
    <w:p w:rsidR="004D00E0" w:rsidRPr="004D00E0" w:rsidRDefault="004D00E0" w:rsidP="00E31F36">
      <w:pPr>
        <w:jc w:val="both"/>
        <w:rPr>
          <w:lang w:val="bs-Cyrl-BA"/>
        </w:rPr>
      </w:pPr>
      <w:r w:rsidRPr="004D00E0">
        <w:rPr>
          <w:lang w:val="bs-Cyrl-BA"/>
        </w:rPr>
        <w:t>— Države stranke Konvencije koje su u postupku provedbe ob</w:t>
      </w:r>
      <w:r w:rsidR="008F4285">
        <w:rPr>
          <w:lang w:val="en-US"/>
        </w:rPr>
        <w:t>a</w:t>
      </w:r>
      <w:r w:rsidRPr="004D00E0">
        <w:rPr>
          <w:lang w:val="bs-Cyrl-BA"/>
        </w:rPr>
        <w:t>veza u vezi s</w:t>
      </w:r>
      <w:r w:rsidR="00607F99">
        <w:rPr>
          <w:lang w:val="en-US"/>
        </w:rPr>
        <w:t xml:space="preserve">a </w:t>
      </w:r>
      <w:proofErr w:type="spellStart"/>
      <w:r w:rsidR="00607F99">
        <w:rPr>
          <w:lang w:val="en-US"/>
        </w:rPr>
        <w:t>deminiranjem</w:t>
      </w:r>
      <w:proofErr w:type="spellEnd"/>
      <w:r w:rsidRPr="004D00E0">
        <w:rPr>
          <w:lang w:val="bs-Cyrl-BA"/>
        </w:rPr>
        <w:t xml:space="preserve"> na </w:t>
      </w:r>
      <w:proofErr w:type="spellStart"/>
      <w:r w:rsidR="008F4285">
        <w:rPr>
          <w:lang w:val="en-US"/>
        </w:rPr>
        <w:t>osnovu</w:t>
      </w:r>
      <w:proofErr w:type="spellEnd"/>
      <w:r w:rsidR="008F4285">
        <w:rPr>
          <w:lang w:val="en-US"/>
        </w:rPr>
        <w:t xml:space="preserve"> </w:t>
      </w:r>
      <w:r w:rsidRPr="004D00E0">
        <w:rPr>
          <w:lang w:val="bs-Cyrl-BA"/>
        </w:rPr>
        <w:t>Konvencije.</w:t>
      </w:r>
    </w:p>
    <w:p w:rsidR="004D00E0" w:rsidRPr="004D00E0" w:rsidRDefault="004D00E0" w:rsidP="00E31F36">
      <w:pPr>
        <w:jc w:val="both"/>
        <w:rPr>
          <w:lang w:val="bs-Cyrl-BA"/>
        </w:rPr>
      </w:pPr>
      <w:r w:rsidRPr="004D00E0">
        <w:rPr>
          <w:lang w:val="bs-Cyrl-BA"/>
        </w:rPr>
        <w:t>— Žene, djevojčice, dječaci i muškarci na čije živote ut</w:t>
      </w:r>
      <w:proofErr w:type="spellStart"/>
      <w:r w:rsidR="008F4285">
        <w:rPr>
          <w:lang w:val="en-US"/>
        </w:rPr>
        <w:t>i</w:t>
      </w:r>
      <w:proofErr w:type="spellEnd"/>
      <w:r w:rsidRPr="004D00E0">
        <w:rPr>
          <w:lang w:val="bs-Cyrl-BA"/>
        </w:rPr>
        <w:t>če postojanje protupješa</w:t>
      </w:r>
      <w:proofErr w:type="spellStart"/>
      <w:r w:rsidR="008F4285">
        <w:rPr>
          <w:lang w:val="en-US"/>
        </w:rPr>
        <w:t>dijskih</w:t>
      </w:r>
      <w:proofErr w:type="spellEnd"/>
      <w:r w:rsidRPr="004D00E0">
        <w:rPr>
          <w:lang w:val="bs-Cyrl-BA"/>
        </w:rPr>
        <w:t xml:space="preserve"> mina ili sumnja o njihovom</w:t>
      </w:r>
      <w:r w:rsidR="008F4285">
        <w:rPr>
          <w:lang w:val="en-US"/>
        </w:rPr>
        <w:t xml:space="preserve"> </w:t>
      </w:r>
      <w:r w:rsidRPr="004D00E0">
        <w:rPr>
          <w:lang w:val="bs-Cyrl-BA"/>
        </w:rPr>
        <w:t xml:space="preserve">postojanju, kao i njihove </w:t>
      </w:r>
      <w:proofErr w:type="spellStart"/>
      <w:r w:rsidR="008F4285">
        <w:rPr>
          <w:lang w:val="en-US"/>
        </w:rPr>
        <w:t>porodice</w:t>
      </w:r>
      <w:proofErr w:type="spellEnd"/>
      <w:r w:rsidR="008F4285">
        <w:rPr>
          <w:lang w:val="en-US"/>
        </w:rPr>
        <w:t xml:space="preserve"> </w:t>
      </w:r>
      <w:r w:rsidRPr="004D00E0">
        <w:rPr>
          <w:lang w:val="bs-Cyrl-BA"/>
        </w:rPr>
        <w:t>i zajednice.</w:t>
      </w:r>
    </w:p>
    <w:p w:rsidR="004D00E0" w:rsidRPr="004D00E0" w:rsidRDefault="004D00E0" w:rsidP="00E31F36">
      <w:pPr>
        <w:jc w:val="both"/>
        <w:rPr>
          <w:lang w:val="bs-Cyrl-BA"/>
        </w:rPr>
      </w:pPr>
      <w:r w:rsidRPr="004D00E0">
        <w:rPr>
          <w:lang w:val="bs-Cyrl-BA"/>
        </w:rPr>
        <w:t>— Nacionalni stručnjaci koji rade na pitanjima u vezi s</w:t>
      </w:r>
      <w:r w:rsidR="00607F99">
        <w:rPr>
          <w:lang w:val="en-US"/>
        </w:rPr>
        <w:t xml:space="preserve">a </w:t>
      </w:r>
      <w:proofErr w:type="spellStart"/>
      <w:r w:rsidR="00607F99">
        <w:rPr>
          <w:lang w:val="en-US"/>
        </w:rPr>
        <w:t>deminiranjem</w:t>
      </w:r>
      <w:proofErr w:type="spellEnd"/>
      <w:r w:rsidRPr="004D00E0">
        <w:rPr>
          <w:lang w:val="bs-Cyrl-BA"/>
        </w:rPr>
        <w:t>.</w:t>
      </w:r>
    </w:p>
    <w:p w:rsidR="00B52867" w:rsidRPr="006A50AA" w:rsidRDefault="004D00E0" w:rsidP="00E31F36">
      <w:pPr>
        <w:jc w:val="both"/>
        <w:rPr>
          <w:lang w:val="bs-Cyrl-BA"/>
        </w:rPr>
      </w:pPr>
      <w:r w:rsidRPr="004D00E0">
        <w:rPr>
          <w:lang w:val="bs-Cyrl-BA"/>
        </w:rPr>
        <w:t xml:space="preserve">— Države i organizacije koje podržavaju napore </w:t>
      </w:r>
      <w:r w:rsidR="008F4285">
        <w:rPr>
          <w:lang w:val="en-US"/>
        </w:rPr>
        <w:t>de</w:t>
      </w:r>
      <w:r w:rsidRPr="004D00E0">
        <w:rPr>
          <w:lang w:val="bs-Cyrl-BA"/>
        </w:rPr>
        <w:t>miniranja.</w:t>
      </w:r>
    </w:p>
    <w:sectPr w:rsidR="00B52867" w:rsidRPr="006A50AA" w:rsidSect="00487673">
      <w:headerReference w:type="default" r:id="rId7"/>
      <w:footerReference w:type="default" r:id="rId8"/>
      <w:headerReference w:type="first" r:id="rId9"/>
      <w:pgSz w:w="11906" w:h="16838"/>
      <w:pgMar w:top="720" w:right="720" w:bottom="720" w:left="720" w:header="51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3227" w:rsidRDefault="00013227" w:rsidP="00870DA4">
      <w:pPr>
        <w:spacing w:after="0" w:line="240" w:lineRule="auto"/>
      </w:pPr>
      <w:r>
        <w:separator/>
      </w:r>
    </w:p>
  </w:endnote>
  <w:endnote w:type="continuationSeparator" w:id="0">
    <w:p w:rsidR="00013227" w:rsidRDefault="00013227" w:rsidP="00870D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60272170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:rsidR="00870DA4" w:rsidRPr="00870DA4" w:rsidRDefault="00435872">
        <w:pPr>
          <w:pStyle w:val="Footer"/>
          <w:jc w:val="center"/>
          <w:rPr>
            <w:sz w:val="18"/>
            <w:szCs w:val="18"/>
          </w:rPr>
        </w:pPr>
        <w:r w:rsidRPr="00870DA4">
          <w:rPr>
            <w:sz w:val="18"/>
            <w:szCs w:val="18"/>
          </w:rPr>
          <w:fldChar w:fldCharType="begin"/>
        </w:r>
        <w:r w:rsidR="00870DA4" w:rsidRPr="00870DA4">
          <w:rPr>
            <w:sz w:val="18"/>
            <w:szCs w:val="18"/>
          </w:rPr>
          <w:instrText xml:space="preserve"> PAGE   \* MERGEFORMAT </w:instrText>
        </w:r>
        <w:r w:rsidRPr="00870DA4">
          <w:rPr>
            <w:sz w:val="18"/>
            <w:szCs w:val="18"/>
          </w:rPr>
          <w:fldChar w:fldCharType="separate"/>
        </w:r>
        <w:r w:rsidR="00310415">
          <w:rPr>
            <w:noProof/>
            <w:sz w:val="18"/>
            <w:szCs w:val="18"/>
          </w:rPr>
          <w:t>2</w:t>
        </w:r>
        <w:r w:rsidRPr="00870DA4">
          <w:rPr>
            <w:noProof/>
            <w:sz w:val="18"/>
            <w:szCs w:val="18"/>
          </w:rPr>
          <w:fldChar w:fldCharType="end"/>
        </w:r>
      </w:p>
    </w:sdtContent>
  </w:sdt>
  <w:p w:rsidR="00870DA4" w:rsidRDefault="00870DA4" w:rsidP="00870DA4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3227" w:rsidRDefault="00013227" w:rsidP="00870DA4">
      <w:pPr>
        <w:spacing w:after="0" w:line="240" w:lineRule="auto"/>
      </w:pPr>
      <w:r>
        <w:separator/>
      </w:r>
    </w:p>
  </w:footnote>
  <w:footnote w:type="continuationSeparator" w:id="0">
    <w:p w:rsidR="00013227" w:rsidRDefault="00013227" w:rsidP="00870D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jc w:val="center"/>
      <w:tblInd w:w="5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166"/>
    </w:tblGrid>
    <w:tr w:rsidR="00870DA4" w:rsidRPr="00263884" w:rsidTr="000B2B06">
      <w:trPr>
        <w:jc w:val="center"/>
      </w:trPr>
      <w:tc>
        <w:tcPr>
          <w:tcW w:w="9166" w:type="dxa"/>
        </w:tcPr>
        <w:p w:rsidR="00870DA4" w:rsidRPr="00263884" w:rsidRDefault="00870DA4" w:rsidP="000B2B06">
          <w:pPr>
            <w:spacing w:line="276" w:lineRule="auto"/>
          </w:pPr>
        </w:p>
      </w:tc>
    </w:tr>
  </w:tbl>
  <w:p w:rsidR="00870DA4" w:rsidRDefault="00870DA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112" w:type="dxa"/>
      <w:jc w:val="center"/>
      <w:tblInd w:w="16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470"/>
      <w:gridCol w:w="4642"/>
    </w:tblGrid>
    <w:tr w:rsidR="00870DA4" w:rsidRPr="00263884" w:rsidTr="00870DA4">
      <w:trPr>
        <w:trHeight w:val="1590"/>
        <w:jc w:val="center"/>
      </w:trPr>
      <w:tc>
        <w:tcPr>
          <w:tcW w:w="4470" w:type="dxa"/>
        </w:tcPr>
        <w:p w:rsidR="00870DA4" w:rsidRPr="00263884" w:rsidRDefault="00870DA4" w:rsidP="000B2B06">
          <w:pPr>
            <w:pStyle w:val="Header"/>
            <w:spacing w:line="276" w:lineRule="auto"/>
            <w:ind w:left="54"/>
          </w:pPr>
          <w:r w:rsidRPr="00263884">
            <w:rPr>
              <w:rFonts w:ascii="Calibri" w:hAnsi="Calibri"/>
              <w:b/>
              <w:noProof/>
              <w:color w:val="20537E"/>
              <w:lang w:val="fr-CH" w:eastAsia="fr-CH"/>
            </w:rPr>
            <w:drawing>
              <wp:inline distT="0" distB="0" distL="0" distR="0">
                <wp:extent cx="1324800" cy="900000"/>
                <wp:effectExtent l="0" t="0" r="8890" b="0"/>
                <wp:docPr id="1" name="Picture 1" descr="G:\ISU\o-EU Council Decision\Communications and Visibility\EUflag_colo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4" descr="G:\ISU\o-EU Council Decision\Communications and Visibility\EUflag_colo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4800" cy="90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870DA4" w:rsidRPr="00263884" w:rsidRDefault="00870DA4" w:rsidP="000B2B06">
          <w:pPr>
            <w:pStyle w:val="Header"/>
            <w:spacing w:line="276" w:lineRule="auto"/>
            <w:ind w:left="54"/>
          </w:pPr>
        </w:p>
      </w:tc>
      <w:tc>
        <w:tcPr>
          <w:tcW w:w="4642" w:type="dxa"/>
        </w:tcPr>
        <w:p w:rsidR="00870DA4" w:rsidRPr="00263884" w:rsidRDefault="004C5196" w:rsidP="004C5196">
          <w:pPr>
            <w:pStyle w:val="Header"/>
            <w:spacing w:line="276" w:lineRule="auto"/>
            <w:ind w:left="54"/>
            <w:jc w:val="right"/>
          </w:pPr>
          <w:r>
            <w:rPr>
              <w:noProof/>
              <w:lang w:val="fr-CH" w:eastAsia="fr-CH"/>
            </w:rPr>
            <w:drawing>
              <wp:inline distT="0" distB="0" distL="0" distR="0">
                <wp:extent cx="957174" cy="962025"/>
                <wp:effectExtent l="0" t="0" r="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onvention clean logo-for web &amp; docs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3265" cy="96814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70DA4" w:rsidRDefault="00870DA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70DA4"/>
    <w:rsid w:val="00013227"/>
    <w:rsid w:val="000C391F"/>
    <w:rsid w:val="000C68BD"/>
    <w:rsid w:val="00174DB0"/>
    <w:rsid w:val="001B256B"/>
    <w:rsid w:val="00235940"/>
    <w:rsid w:val="002841E3"/>
    <w:rsid w:val="002D6DDA"/>
    <w:rsid w:val="002E3ACE"/>
    <w:rsid w:val="00310415"/>
    <w:rsid w:val="003C4141"/>
    <w:rsid w:val="00435872"/>
    <w:rsid w:val="00487673"/>
    <w:rsid w:val="004A70BC"/>
    <w:rsid w:val="004C5196"/>
    <w:rsid w:val="004D00E0"/>
    <w:rsid w:val="004F1474"/>
    <w:rsid w:val="0056240A"/>
    <w:rsid w:val="005D6978"/>
    <w:rsid w:val="005F091A"/>
    <w:rsid w:val="00607F99"/>
    <w:rsid w:val="00630E89"/>
    <w:rsid w:val="0065511D"/>
    <w:rsid w:val="006A50AA"/>
    <w:rsid w:val="006A6B97"/>
    <w:rsid w:val="006C5F86"/>
    <w:rsid w:val="00833F9C"/>
    <w:rsid w:val="00870DA4"/>
    <w:rsid w:val="008F4285"/>
    <w:rsid w:val="00905927"/>
    <w:rsid w:val="00933E51"/>
    <w:rsid w:val="0095178A"/>
    <w:rsid w:val="0097213D"/>
    <w:rsid w:val="009B366D"/>
    <w:rsid w:val="009F6358"/>
    <w:rsid w:val="00A62D6A"/>
    <w:rsid w:val="00AF2641"/>
    <w:rsid w:val="00C51ED6"/>
    <w:rsid w:val="00C7201F"/>
    <w:rsid w:val="00C832D9"/>
    <w:rsid w:val="00D33230"/>
    <w:rsid w:val="00E2507D"/>
    <w:rsid w:val="00E31F36"/>
    <w:rsid w:val="00E76DA6"/>
    <w:rsid w:val="00F236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5872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70DA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70D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0DA4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870D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0DA4"/>
    <w:rPr>
      <w:lang w:val="en-GB"/>
    </w:rPr>
  </w:style>
  <w:style w:type="table" w:styleId="TableGrid">
    <w:name w:val="Table Grid"/>
    <w:basedOn w:val="TableNormal"/>
    <w:uiPriority w:val="59"/>
    <w:rsid w:val="00870DA4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70D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0DA4"/>
    <w:rPr>
      <w:rFonts w:ascii="Tahoma" w:hAnsi="Tahoma" w:cs="Tahoma"/>
      <w:sz w:val="16"/>
      <w:szCs w:val="16"/>
      <w:lang w:val="en-GB"/>
    </w:rPr>
  </w:style>
  <w:style w:type="paragraph" w:customStyle="1" w:styleId="doc-ti">
    <w:name w:val="doc-ti"/>
    <w:basedOn w:val="Normal"/>
    <w:rsid w:val="00235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CH" w:eastAsia="fr-CH"/>
    </w:rPr>
  </w:style>
  <w:style w:type="paragraph" w:customStyle="1" w:styleId="Normal1">
    <w:name w:val="Normal1"/>
    <w:basedOn w:val="Normal"/>
    <w:rsid w:val="00235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CH" w:eastAsia="fr-CH"/>
    </w:rPr>
  </w:style>
  <w:style w:type="character" w:customStyle="1" w:styleId="super">
    <w:name w:val="super"/>
    <w:basedOn w:val="DefaultParagraphFont"/>
    <w:rsid w:val="00235940"/>
  </w:style>
  <w:style w:type="paragraph" w:customStyle="1" w:styleId="ti-art">
    <w:name w:val="ti-art"/>
    <w:basedOn w:val="Normal"/>
    <w:rsid w:val="00235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CH" w:eastAsia="fr-CH"/>
    </w:rPr>
  </w:style>
  <w:style w:type="paragraph" w:customStyle="1" w:styleId="signatory">
    <w:name w:val="signatory"/>
    <w:basedOn w:val="Normal"/>
    <w:rsid w:val="00235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CH" w:eastAsia="fr-CH"/>
    </w:rPr>
  </w:style>
  <w:style w:type="character" w:customStyle="1" w:styleId="italic">
    <w:name w:val="italic"/>
    <w:basedOn w:val="DefaultParagraphFont"/>
    <w:rsid w:val="00235940"/>
  </w:style>
  <w:style w:type="paragraph" w:customStyle="1" w:styleId="note">
    <w:name w:val="note"/>
    <w:basedOn w:val="Normal"/>
    <w:rsid w:val="00235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CH" w:eastAsia="fr-CH"/>
    </w:rPr>
  </w:style>
  <w:style w:type="paragraph" w:customStyle="1" w:styleId="ti-grseq-1">
    <w:name w:val="ti-grseq-1"/>
    <w:basedOn w:val="Normal"/>
    <w:rsid w:val="00235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CH" w:eastAsia="fr-CH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70DA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70D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0DA4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870D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0DA4"/>
    <w:rPr>
      <w:lang w:val="en-GB"/>
    </w:rPr>
  </w:style>
  <w:style w:type="table" w:styleId="TableGrid">
    <w:name w:val="Table Grid"/>
    <w:basedOn w:val="TableNormal"/>
    <w:uiPriority w:val="59"/>
    <w:rsid w:val="00870DA4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70D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0DA4"/>
    <w:rPr>
      <w:rFonts w:ascii="Tahoma" w:hAnsi="Tahoma" w:cs="Tahoma"/>
      <w:sz w:val="16"/>
      <w:szCs w:val="16"/>
      <w:lang w:val="en-GB"/>
    </w:rPr>
  </w:style>
  <w:style w:type="paragraph" w:customStyle="1" w:styleId="doc-ti">
    <w:name w:val="doc-ti"/>
    <w:basedOn w:val="Normal"/>
    <w:rsid w:val="00235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CH" w:eastAsia="fr-CH"/>
    </w:rPr>
  </w:style>
  <w:style w:type="paragraph" w:customStyle="1" w:styleId="Normal1">
    <w:name w:val="Normal1"/>
    <w:basedOn w:val="Normal"/>
    <w:rsid w:val="00235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CH" w:eastAsia="fr-CH"/>
    </w:rPr>
  </w:style>
  <w:style w:type="character" w:customStyle="1" w:styleId="super">
    <w:name w:val="super"/>
    <w:basedOn w:val="DefaultParagraphFont"/>
    <w:rsid w:val="00235940"/>
  </w:style>
  <w:style w:type="paragraph" w:customStyle="1" w:styleId="ti-art">
    <w:name w:val="ti-art"/>
    <w:basedOn w:val="Normal"/>
    <w:rsid w:val="00235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CH" w:eastAsia="fr-CH"/>
    </w:rPr>
  </w:style>
  <w:style w:type="paragraph" w:customStyle="1" w:styleId="signatory">
    <w:name w:val="signatory"/>
    <w:basedOn w:val="Normal"/>
    <w:rsid w:val="00235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CH" w:eastAsia="fr-CH"/>
    </w:rPr>
  </w:style>
  <w:style w:type="character" w:customStyle="1" w:styleId="italic">
    <w:name w:val="italic"/>
    <w:basedOn w:val="DefaultParagraphFont"/>
    <w:rsid w:val="00235940"/>
  </w:style>
  <w:style w:type="paragraph" w:customStyle="1" w:styleId="note">
    <w:name w:val="note"/>
    <w:basedOn w:val="Normal"/>
    <w:rsid w:val="00235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CH" w:eastAsia="fr-CH"/>
    </w:rPr>
  </w:style>
  <w:style w:type="paragraph" w:customStyle="1" w:styleId="ti-grseq-1">
    <w:name w:val="ti-grseq-1"/>
    <w:basedOn w:val="Normal"/>
    <w:rsid w:val="00235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CH" w:eastAsia="fr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2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133213">
          <w:marLeft w:val="810"/>
          <w:marRight w:val="81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0650">
              <w:marLeft w:val="4005"/>
              <w:marRight w:val="8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78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50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452928">
          <w:marLeft w:val="810"/>
          <w:marRight w:val="81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88096">
              <w:marLeft w:val="4005"/>
              <w:marRight w:val="8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57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0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220644">
          <w:marLeft w:val="810"/>
          <w:marRight w:val="81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111607">
              <w:marLeft w:val="4005"/>
              <w:marRight w:val="8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67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48EC8589.dotm</Template>
  <TotalTime>0</TotalTime>
  <Pages>3</Pages>
  <Words>985</Words>
  <Characters>5421</Characters>
  <Application>Microsoft Office Word</Application>
  <DocSecurity>4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Maison de la Paix</Company>
  <LinksUpToDate>false</LinksUpToDate>
  <CharactersWithSpaces>6394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Rodriguez Laila</dc:creator>
  <cp:lastModifiedBy>Rodriguez Laila</cp:lastModifiedBy>
  <cp:revision>2</cp:revision>
  <dcterms:created xsi:type="dcterms:W3CDTF">2018-09-20T10:33:00Z</dcterms:created>
  <dcterms:modified xsi:type="dcterms:W3CDTF">2018-09-20T10:33:00Z</dcterms:modified>
</cp:coreProperties>
</file>