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970" w:rsidRPr="00F15FFB" w:rsidRDefault="00F15FFB" w:rsidP="007C7EEC">
      <w:pPr>
        <w:tabs>
          <w:tab w:val="left" w:pos="2085"/>
          <w:tab w:val="center" w:pos="4536"/>
        </w:tabs>
        <w:spacing w:after="0" w:line="240" w:lineRule="auto"/>
        <w:jc w:val="center"/>
        <w:rPr>
          <w:b/>
          <w:bCs/>
          <w:sz w:val="28"/>
          <w:szCs w:val="28"/>
          <w:lang w:val="fr-CH"/>
        </w:rPr>
      </w:pPr>
      <w:bookmarkStart w:id="0" w:name="_Hlk4429466"/>
      <w:r w:rsidRPr="00F15FFB">
        <w:rPr>
          <w:b/>
          <w:bCs/>
          <w:sz w:val="28"/>
          <w:szCs w:val="28"/>
          <w:lang w:val="fr-CH"/>
        </w:rPr>
        <w:t>Promouvoir les Partenariats</w:t>
      </w:r>
    </w:p>
    <w:p w:rsidR="00CA5017" w:rsidRPr="00F15FFB" w:rsidRDefault="00F15FFB" w:rsidP="00CA5017">
      <w:pPr>
        <w:spacing w:after="0" w:line="240" w:lineRule="auto"/>
        <w:jc w:val="center"/>
        <w:rPr>
          <w:b/>
          <w:bCs/>
          <w:lang w:val="fr-CH"/>
        </w:rPr>
      </w:pPr>
      <w:r w:rsidRPr="00F15FFB">
        <w:rPr>
          <w:b/>
          <w:bCs/>
          <w:lang w:val="fr-CH"/>
        </w:rPr>
        <w:t xml:space="preserve">Conférence </w:t>
      </w:r>
      <w:r w:rsidR="00B977D8">
        <w:rPr>
          <w:b/>
          <w:bCs/>
          <w:lang w:val="fr-CH"/>
        </w:rPr>
        <w:t>mondiale</w:t>
      </w:r>
      <w:r>
        <w:rPr>
          <w:b/>
          <w:bCs/>
          <w:lang w:val="fr-CH"/>
        </w:rPr>
        <w:t xml:space="preserve"> sur l’assistance des victimes des mines antipersonnel</w:t>
      </w:r>
    </w:p>
    <w:p w:rsidR="009B215F" w:rsidRPr="00F15FFB" w:rsidRDefault="00F15FFB" w:rsidP="00CA5017">
      <w:pPr>
        <w:spacing w:after="0" w:line="240" w:lineRule="auto"/>
        <w:jc w:val="center"/>
        <w:rPr>
          <w:b/>
          <w:bCs/>
          <w:lang w:val="fr-CH"/>
        </w:rPr>
      </w:pPr>
      <w:proofErr w:type="gramStart"/>
      <w:r w:rsidRPr="00F15FFB">
        <w:rPr>
          <w:b/>
          <w:bCs/>
          <w:lang w:val="fr-CH"/>
        </w:rPr>
        <w:t>et</w:t>
      </w:r>
      <w:proofErr w:type="gramEnd"/>
      <w:r w:rsidR="009B215F" w:rsidRPr="00F15FFB">
        <w:rPr>
          <w:b/>
          <w:bCs/>
          <w:lang w:val="fr-CH"/>
        </w:rPr>
        <w:t xml:space="preserve"> </w:t>
      </w:r>
      <w:r w:rsidRPr="00F15FFB">
        <w:rPr>
          <w:b/>
          <w:bCs/>
          <w:lang w:val="fr-CH"/>
        </w:rPr>
        <w:t>autres restes explosifs de guerre</w:t>
      </w:r>
      <w:r w:rsidR="00B977D8">
        <w:rPr>
          <w:b/>
          <w:bCs/>
          <w:lang w:val="fr-CH"/>
        </w:rPr>
        <w:t xml:space="preserve"> et des </w:t>
      </w:r>
      <w:r>
        <w:rPr>
          <w:b/>
          <w:bCs/>
          <w:lang w:val="fr-CH"/>
        </w:rPr>
        <w:t>droits des personnes handicapées</w:t>
      </w:r>
    </w:p>
    <w:tbl>
      <w:tblPr>
        <w:tblStyle w:val="TableGrid"/>
        <w:tblW w:w="10773" w:type="dxa"/>
        <w:tblInd w:w="-459" w:type="dxa"/>
        <w:tblLook w:val="04A0" w:firstRow="1" w:lastRow="0" w:firstColumn="1" w:lastColumn="0" w:noHBand="0" w:noVBand="1"/>
      </w:tblPr>
      <w:tblGrid>
        <w:gridCol w:w="1730"/>
        <w:gridCol w:w="8902"/>
        <w:gridCol w:w="141"/>
      </w:tblGrid>
      <w:tr w:rsidR="00706BA8"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tcPr>
          <w:p w:rsidR="00681B5D" w:rsidRPr="00F15FFB" w:rsidRDefault="00681B5D" w:rsidP="00681B5D">
            <w:pPr>
              <w:contextualSpacing/>
              <w:jc w:val="center"/>
              <w:rPr>
                <w:b/>
                <w:bCs/>
                <w:sz w:val="16"/>
                <w:szCs w:val="16"/>
                <w:lang w:val="fr-CH" w:eastAsia="de-DE"/>
              </w:rPr>
            </w:pPr>
          </w:p>
          <w:p w:rsidR="00706BA8" w:rsidRPr="00F15FFB" w:rsidRDefault="00F15FFB" w:rsidP="00681B5D">
            <w:pPr>
              <w:contextualSpacing/>
              <w:jc w:val="center"/>
              <w:rPr>
                <w:rFonts w:cstheme="minorHAnsi"/>
                <w:bCs/>
                <w:color w:val="FFFFFF" w:themeColor="background1"/>
                <w:lang w:val="fr-CH"/>
              </w:rPr>
            </w:pPr>
            <w:r w:rsidRPr="00F15FFB">
              <w:rPr>
                <w:b/>
                <w:bCs/>
                <w:color w:val="FFFFFF" w:themeColor="background1"/>
                <w:lang w:val="fr-CH" w:eastAsia="de-DE"/>
              </w:rPr>
              <w:t>Projet de</w:t>
            </w:r>
            <w:r w:rsidR="00681B5D" w:rsidRPr="00F15FFB">
              <w:rPr>
                <w:b/>
                <w:bCs/>
                <w:color w:val="FFFFFF" w:themeColor="background1"/>
                <w:lang w:val="fr-CH" w:eastAsia="de-DE"/>
              </w:rPr>
              <w:t xml:space="preserve"> Program</w:t>
            </w:r>
            <w:r w:rsidR="00F31EA4" w:rsidRPr="00F15FFB">
              <w:rPr>
                <w:b/>
                <w:bCs/>
                <w:color w:val="FFFFFF" w:themeColor="background1"/>
                <w:lang w:val="fr-CH" w:eastAsia="de-DE"/>
              </w:rPr>
              <w:t>me</w:t>
            </w:r>
            <w:r w:rsidR="00706BA8" w:rsidRPr="00F15FFB">
              <w:rPr>
                <w:b/>
                <w:bCs/>
                <w:color w:val="FFFFFF" w:themeColor="background1"/>
                <w:lang w:val="fr-CH" w:eastAsia="de-DE"/>
              </w:rPr>
              <w:t xml:space="preserve"> </w:t>
            </w:r>
            <w:r w:rsidR="00434FDA" w:rsidRPr="00F15FFB">
              <w:rPr>
                <w:b/>
                <w:bCs/>
                <w:color w:val="FFFFFF" w:themeColor="background1"/>
                <w:lang w:val="fr-CH" w:eastAsia="de-DE"/>
              </w:rPr>
              <w:t>(*</w:t>
            </w:r>
            <w:r w:rsidRPr="00F15FFB">
              <w:rPr>
                <w:b/>
                <w:bCs/>
                <w:color w:val="FFFFFF" w:themeColor="background1"/>
                <w:lang w:val="fr-CH" w:eastAsia="de-DE"/>
              </w:rPr>
              <w:t>au</w:t>
            </w:r>
            <w:r w:rsidR="00434FDA" w:rsidRPr="00F15FFB">
              <w:rPr>
                <w:b/>
                <w:bCs/>
                <w:color w:val="FFFFFF" w:themeColor="background1"/>
                <w:lang w:val="fr-CH" w:eastAsia="de-DE"/>
              </w:rPr>
              <w:t xml:space="preserve"> 8 </w:t>
            </w:r>
            <w:r w:rsidRPr="00F15FFB">
              <w:rPr>
                <w:b/>
                <w:bCs/>
                <w:color w:val="FFFFFF" w:themeColor="background1"/>
                <w:lang w:val="fr-CH" w:eastAsia="de-DE"/>
              </w:rPr>
              <w:t>août</w:t>
            </w:r>
            <w:r w:rsidR="00434FDA" w:rsidRPr="00F15FFB">
              <w:rPr>
                <w:b/>
                <w:bCs/>
                <w:color w:val="FFFFFF" w:themeColor="background1"/>
                <w:lang w:val="fr-CH" w:eastAsia="de-DE"/>
              </w:rPr>
              <w:t xml:space="preserve"> 2019) </w:t>
            </w:r>
            <w:r>
              <w:rPr>
                <w:b/>
                <w:bCs/>
                <w:color w:val="FFFFFF" w:themeColor="background1"/>
                <w:lang w:val="fr-CH" w:eastAsia="de-DE"/>
              </w:rPr>
              <w:t>pour le Premier Jour</w:t>
            </w:r>
            <w:r w:rsidR="0013403C" w:rsidRPr="00F15FFB">
              <w:rPr>
                <w:b/>
                <w:bCs/>
                <w:color w:val="FFFFFF" w:themeColor="background1"/>
                <w:lang w:val="fr-CH" w:eastAsia="de-DE"/>
              </w:rPr>
              <w:t xml:space="preserve"> |</w:t>
            </w:r>
            <w:r>
              <w:rPr>
                <w:b/>
                <w:bCs/>
                <w:color w:val="FFFFFF" w:themeColor="background1"/>
                <w:lang w:val="fr-CH" w:eastAsia="de-DE"/>
              </w:rPr>
              <w:t>Mardi</w:t>
            </w:r>
            <w:r w:rsidR="0013403C" w:rsidRPr="00F15FFB">
              <w:rPr>
                <w:b/>
                <w:bCs/>
                <w:color w:val="FFFFFF" w:themeColor="background1"/>
                <w:lang w:val="fr-CH" w:eastAsia="de-DE"/>
              </w:rPr>
              <w:t xml:space="preserve"> 10 </w:t>
            </w:r>
            <w:r w:rsidR="003D6686">
              <w:rPr>
                <w:b/>
                <w:bCs/>
                <w:color w:val="FFFFFF" w:themeColor="background1"/>
                <w:lang w:val="fr-CH" w:eastAsia="de-DE"/>
              </w:rPr>
              <w:t>s</w:t>
            </w:r>
            <w:r w:rsidR="0013403C" w:rsidRPr="00F15FFB">
              <w:rPr>
                <w:b/>
                <w:bCs/>
                <w:color w:val="FFFFFF" w:themeColor="background1"/>
                <w:lang w:val="fr-CH" w:eastAsia="de-DE"/>
              </w:rPr>
              <w:t>eptemb</w:t>
            </w:r>
            <w:r>
              <w:rPr>
                <w:b/>
                <w:bCs/>
                <w:color w:val="FFFFFF" w:themeColor="background1"/>
                <w:lang w:val="fr-CH" w:eastAsia="de-DE"/>
              </w:rPr>
              <w:t>re</w:t>
            </w:r>
            <w:r w:rsidR="0013403C" w:rsidRPr="00F15FFB">
              <w:rPr>
                <w:b/>
                <w:bCs/>
                <w:color w:val="FFFFFF" w:themeColor="background1"/>
                <w:lang w:val="fr-CH" w:eastAsia="de-DE"/>
              </w:rPr>
              <w:t xml:space="preserve"> 2019</w:t>
            </w:r>
          </w:p>
          <w:p w:rsidR="00681B5D" w:rsidRPr="00F15FFB" w:rsidRDefault="00681B5D" w:rsidP="00681B5D">
            <w:pPr>
              <w:contextualSpacing/>
              <w:jc w:val="center"/>
              <w:rPr>
                <w:b/>
                <w:bCs/>
                <w:sz w:val="16"/>
                <w:szCs w:val="16"/>
                <w:lang w:val="fr-CH" w:eastAsia="de-DE"/>
              </w:rPr>
            </w:pPr>
          </w:p>
        </w:tc>
      </w:tr>
      <w:tr w:rsidR="00706BA8" w:rsidRPr="00705086" w:rsidTr="004A5F8E">
        <w:tc>
          <w:tcPr>
            <w:tcW w:w="17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tcPr>
          <w:p w:rsidR="00706BA8" w:rsidRPr="00070237" w:rsidRDefault="00706BA8" w:rsidP="001127AA">
            <w:pPr>
              <w:contextualSpacing/>
              <w:jc w:val="both"/>
              <w:rPr>
                <w:lang w:eastAsia="de-DE"/>
              </w:rPr>
            </w:pPr>
            <w:r w:rsidRPr="00070237">
              <w:rPr>
                <w:rFonts w:cstheme="minorHAnsi"/>
              </w:rPr>
              <w:t>08:00 – 09:00</w:t>
            </w:r>
          </w:p>
        </w:tc>
        <w:tc>
          <w:tcPr>
            <w:tcW w:w="9043"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tcPr>
          <w:p w:rsidR="00706BA8" w:rsidRPr="00070237" w:rsidRDefault="00B977D8" w:rsidP="00681B5D">
            <w:pPr>
              <w:contextualSpacing/>
              <w:jc w:val="both"/>
              <w:rPr>
                <w:lang w:eastAsia="de-DE"/>
              </w:rPr>
            </w:pPr>
            <w:r>
              <w:rPr>
                <w:rFonts w:cstheme="minorHAnsi"/>
              </w:rPr>
              <w:t>Inscription</w:t>
            </w:r>
          </w:p>
        </w:tc>
      </w:tr>
      <w:tr w:rsidR="00F31EA4" w:rsidRPr="008E5FE4" w:rsidTr="004A5F8E">
        <w:tc>
          <w:tcPr>
            <w:tcW w:w="10773" w:type="dxa"/>
            <w:gridSpan w:val="3"/>
            <w:tcBorders>
              <w:top w:val="single" w:sz="4" w:space="0" w:color="auto"/>
              <w:left w:val="single" w:sz="4" w:space="0" w:color="4F81BD" w:themeColor="accent1"/>
              <w:bottom w:val="single" w:sz="4" w:space="0" w:color="4F81BD" w:themeColor="accent1"/>
              <w:right w:val="single" w:sz="4" w:space="0" w:color="4F81BD" w:themeColor="accent1"/>
            </w:tcBorders>
            <w:shd w:val="clear" w:color="auto" w:fill="FFFFFF" w:themeFill="background1"/>
          </w:tcPr>
          <w:p w:rsidR="00F31EA4" w:rsidRPr="00F15FFB" w:rsidRDefault="00F31EA4" w:rsidP="001127AA">
            <w:pPr>
              <w:contextualSpacing/>
              <w:jc w:val="both"/>
              <w:rPr>
                <w:rFonts w:cstheme="minorHAnsi"/>
                <w:lang w:val="fr-CH"/>
              </w:rPr>
            </w:pPr>
          </w:p>
          <w:p w:rsidR="00070237" w:rsidRPr="00F15FFB" w:rsidRDefault="00F15FFB" w:rsidP="00070237">
            <w:pPr>
              <w:contextualSpacing/>
              <w:jc w:val="lowKashida"/>
              <w:rPr>
                <w:lang w:val="fr-CH"/>
              </w:rPr>
            </w:pPr>
            <w:r w:rsidRPr="00F15FFB">
              <w:rPr>
                <w:lang w:val="fr-CH"/>
              </w:rPr>
              <w:t>Cérémonie d’ouverture de haut niveau</w:t>
            </w:r>
          </w:p>
          <w:p w:rsidR="00070237" w:rsidRPr="00F15FFB" w:rsidRDefault="00070237" w:rsidP="00070237">
            <w:pPr>
              <w:contextualSpacing/>
              <w:jc w:val="lowKashida"/>
              <w:rPr>
                <w:b/>
                <w:bCs/>
                <w:lang w:val="fr-CH"/>
              </w:rPr>
            </w:pPr>
          </w:p>
          <w:p w:rsidR="00F31EA4" w:rsidRDefault="005410FF" w:rsidP="001127AA">
            <w:pPr>
              <w:contextualSpacing/>
              <w:jc w:val="both"/>
              <w:rPr>
                <w:b/>
                <w:bCs/>
                <w:lang w:val="fr-CH"/>
              </w:rPr>
            </w:pPr>
            <w:r w:rsidRPr="00C26DC5">
              <w:rPr>
                <w:b/>
                <w:bCs/>
                <w:lang w:val="fr-CH"/>
              </w:rPr>
              <w:t>Concrétiser</w:t>
            </w:r>
            <w:r w:rsidR="00F15FFB" w:rsidRPr="00F15FFB">
              <w:rPr>
                <w:b/>
                <w:bCs/>
                <w:lang w:val="fr-CH"/>
              </w:rPr>
              <w:t xml:space="preserve"> les droits des victimes des mines antipersonnel et autres restes explosifs de guerre</w:t>
            </w:r>
          </w:p>
          <w:p w:rsidR="00F15FFB" w:rsidRPr="00F15FFB" w:rsidRDefault="00F15FFB" w:rsidP="001127AA">
            <w:pPr>
              <w:contextualSpacing/>
              <w:jc w:val="both"/>
              <w:rPr>
                <w:b/>
                <w:bCs/>
                <w:lang w:val="fr-CH"/>
              </w:rPr>
            </w:pPr>
          </w:p>
          <w:p w:rsidR="00F31EA4" w:rsidRPr="00F15FFB" w:rsidRDefault="00F15FFB" w:rsidP="008E5FE4">
            <w:pPr>
              <w:ind w:left="1307" w:hanging="1277"/>
              <w:contextualSpacing/>
              <w:jc w:val="both"/>
              <w:rPr>
                <w:b/>
                <w:bCs/>
                <w:lang w:val="fr-CH"/>
              </w:rPr>
            </w:pPr>
            <w:r w:rsidRPr="00F15FFB">
              <w:rPr>
                <w:b/>
                <w:bCs/>
                <w:lang w:val="fr-CH"/>
              </w:rPr>
              <w:t>Présid</w:t>
            </w:r>
            <w:r w:rsidR="008E5FE4">
              <w:rPr>
                <w:b/>
                <w:bCs/>
                <w:lang w:val="fr-CH"/>
              </w:rPr>
              <w:t xml:space="preserve">ée par : </w:t>
            </w:r>
            <w:r w:rsidRPr="00F15FFB">
              <w:rPr>
                <w:b/>
                <w:bCs/>
                <w:lang w:val="fr-CH"/>
              </w:rPr>
              <w:t>Son Altesse Royale le Prince Mired Raad Zeid Al-Hussein</w:t>
            </w:r>
          </w:p>
          <w:p w:rsidR="00247D72" w:rsidRPr="00F15FFB" w:rsidRDefault="00F15FFB" w:rsidP="008E5FE4">
            <w:pPr>
              <w:ind w:left="1307"/>
              <w:contextualSpacing/>
              <w:rPr>
                <w:rFonts w:asciiTheme="minorHAnsi" w:hAnsiTheme="minorHAnsi" w:cstheme="minorHAnsi"/>
                <w:lang w:val="fr-CH"/>
              </w:rPr>
            </w:pPr>
            <w:bookmarkStart w:id="1" w:name="_GoBack"/>
            <w:bookmarkEnd w:id="1"/>
            <w:r w:rsidRPr="00F15FFB">
              <w:rPr>
                <w:b/>
                <w:bCs/>
                <w:lang w:val="fr-CH"/>
              </w:rPr>
              <w:t xml:space="preserve">Chef de la délégation de l'Union européenne en Jordanie </w:t>
            </w:r>
          </w:p>
        </w:tc>
      </w:tr>
      <w:tr w:rsidR="00F31EA4"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F31EA4" w:rsidRPr="00F15FFB" w:rsidRDefault="00F31EA4" w:rsidP="001127AA">
            <w:pPr>
              <w:contextualSpacing/>
              <w:jc w:val="both"/>
              <w:rPr>
                <w:rFonts w:cstheme="minorHAnsi"/>
                <w:sz w:val="16"/>
                <w:szCs w:val="16"/>
                <w:lang w:val="fr-CH"/>
              </w:rPr>
            </w:pPr>
          </w:p>
          <w:p w:rsidR="00070237" w:rsidRPr="00B977D8" w:rsidRDefault="00F15FFB" w:rsidP="00427AEE">
            <w:pPr>
              <w:contextualSpacing/>
              <w:jc w:val="both"/>
              <w:rPr>
                <w:lang w:val="fr-CH"/>
              </w:rPr>
            </w:pPr>
            <w:r w:rsidRPr="00B977D8">
              <w:rPr>
                <w:lang w:val="fr-CH"/>
              </w:rPr>
              <w:t xml:space="preserve">Première séance plénière </w:t>
            </w:r>
          </w:p>
          <w:p w:rsidR="00F15FFB" w:rsidRPr="00B977D8" w:rsidRDefault="00F15FFB" w:rsidP="00427AEE">
            <w:pPr>
              <w:contextualSpacing/>
              <w:jc w:val="both"/>
              <w:rPr>
                <w:b/>
                <w:bCs/>
                <w:lang w:val="fr-CH"/>
              </w:rPr>
            </w:pPr>
          </w:p>
          <w:p w:rsidR="00F31EA4" w:rsidRPr="00F15FFB" w:rsidRDefault="00F15FFB" w:rsidP="00427AEE">
            <w:pPr>
              <w:contextualSpacing/>
              <w:jc w:val="both"/>
              <w:rPr>
                <w:b/>
                <w:bCs/>
                <w:lang w:val="fr-CH"/>
              </w:rPr>
            </w:pPr>
            <w:r w:rsidRPr="00F15FFB">
              <w:rPr>
                <w:b/>
                <w:bCs/>
                <w:lang w:val="fr-CH"/>
              </w:rPr>
              <w:t>D'où venons-</w:t>
            </w:r>
            <w:r w:rsidR="0082434E" w:rsidRPr="00F15FFB">
              <w:rPr>
                <w:b/>
                <w:bCs/>
                <w:lang w:val="fr-CH"/>
              </w:rPr>
              <w:t>nous ;</w:t>
            </w:r>
            <w:r w:rsidRPr="00F15FFB">
              <w:rPr>
                <w:b/>
                <w:bCs/>
                <w:lang w:val="fr-CH"/>
              </w:rPr>
              <w:t xml:space="preserve"> Où allons-nous</w:t>
            </w:r>
            <w:r>
              <w:rPr>
                <w:b/>
                <w:bCs/>
                <w:lang w:val="fr-CH"/>
              </w:rPr>
              <w:t xml:space="preserve"> </w:t>
            </w:r>
            <w:r w:rsidRPr="00F15FFB">
              <w:rPr>
                <w:b/>
                <w:bCs/>
                <w:lang w:val="fr-CH"/>
              </w:rPr>
              <w:t>? État d'avancement de l'assistance aux victimes</w:t>
            </w:r>
          </w:p>
          <w:p w:rsidR="00F31EA4" w:rsidRPr="00F15FFB" w:rsidRDefault="00F31EA4" w:rsidP="001127AA">
            <w:pPr>
              <w:contextualSpacing/>
              <w:jc w:val="both"/>
              <w:rPr>
                <w:b/>
                <w:bCs/>
                <w:lang w:val="fr-CH"/>
              </w:rPr>
            </w:pPr>
          </w:p>
          <w:p w:rsidR="00070237" w:rsidRPr="0082434E" w:rsidRDefault="0082434E" w:rsidP="00070237">
            <w:pPr>
              <w:rPr>
                <w:sz w:val="16"/>
                <w:szCs w:val="16"/>
                <w:lang w:val="fr-CH"/>
              </w:rPr>
            </w:pPr>
            <w:r w:rsidRPr="0082434E">
              <w:rPr>
                <w:lang w:val="fr-CH"/>
              </w:rPr>
              <w:t xml:space="preserve">Identifier les principaux défis à relever pour mieux prendre en compte les droits et les besoins des victimes de mines et autres survivants de </w:t>
            </w:r>
            <w:r>
              <w:rPr>
                <w:lang w:val="fr-CH"/>
              </w:rPr>
              <w:t>restes explosifs de guerre</w:t>
            </w:r>
            <w:r w:rsidRPr="0082434E">
              <w:rPr>
                <w:lang w:val="fr-CH"/>
              </w:rPr>
              <w:t>, ainsi que des autres personnes handicapées, est l’une des étapes les plus critiques pour la communauté de la Convention à la suite de la Conférence d’examen d’Oslo. Les discussions porteront notamment sur la manière dont le droit international des droits de l'homme a modifié le paysage dans lequel les engagements en matière d'assistance aux victimes sont appliqués.</w:t>
            </w:r>
          </w:p>
        </w:tc>
      </w:tr>
      <w:tr w:rsidR="00F42E9F"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F42E9F" w:rsidRPr="0082434E" w:rsidRDefault="00F42E9F" w:rsidP="000B48F3">
            <w:pPr>
              <w:contextualSpacing/>
              <w:jc w:val="both"/>
              <w:rPr>
                <w:rFonts w:cstheme="minorHAnsi"/>
                <w:sz w:val="16"/>
                <w:szCs w:val="16"/>
                <w:lang w:val="fr-CH"/>
              </w:rPr>
            </w:pPr>
          </w:p>
          <w:p w:rsidR="00070237" w:rsidRDefault="0082434E" w:rsidP="00705086">
            <w:pPr>
              <w:contextualSpacing/>
              <w:rPr>
                <w:rFonts w:cstheme="minorHAnsi"/>
                <w:b/>
                <w:bCs/>
                <w:lang w:val="fr-CH"/>
              </w:rPr>
            </w:pPr>
            <w:r w:rsidRPr="0082434E">
              <w:rPr>
                <w:rFonts w:cstheme="minorHAnsi"/>
                <w:b/>
                <w:bCs/>
                <w:lang w:val="fr-CH"/>
              </w:rPr>
              <w:t>Leçons apprises - Défis communs et meilleures pratiques</w:t>
            </w:r>
          </w:p>
          <w:p w:rsidR="0082434E" w:rsidRPr="0082434E" w:rsidRDefault="0082434E" w:rsidP="00705086">
            <w:pPr>
              <w:contextualSpacing/>
              <w:rPr>
                <w:rFonts w:cstheme="minorHAnsi"/>
                <w:b/>
                <w:bCs/>
                <w:lang w:val="fr-CH"/>
              </w:rPr>
            </w:pPr>
          </w:p>
          <w:p w:rsidR="00070237" w:rsidRPr="0082434E" w:rsidRDefault="0082434E" w:rsidP="00070237">
            <w:pPr>
              <w:contextualSpacing/>
              <w:rPr>
                <w:rFonts w:cstheme="minorHAnsi"/>
                <w:sz w:val="16"/>
                <w:szCs w:val="16"/>
                <w:lang w:val="fr-CH"/>
              </w:rPr>
            </w:pPr>
            <w:r w:rsidRPr="0082434E">
              <w:rPr>
                <w:rFonts w:cstheme="minorHAnsi"/>
                <w:lang w:val="fr-CH"/>
              </w:rPr>
              <w:t xml:space="preserve">Une série de séances </w:t>
            </w:r>
            <w:r w:rsidR="006D36A5">
              <w:rPr>
                <w:rFonts w:cstheme="minorHAnsi"/>
                <w:lang w:val="fr-CH"/>
              </w:rPr>
              <w:t>axées sur la</w:t>
            </w:r>
            <w:r w:rsidRPr="0082434E">
              <w:rPr>
                <w:rFonts w:cstheme="minorHAnsi"/>
                <w:lang w:val="fr-CH"/>
              </w:rPr>
              <w:t xml:space="preserve"> coopération régionale sud-sud est prévue pour le déjeuner. Les délégués sont encouragés à assister à une ou plusieurs sessions en fonction de la région, de la langue et / ou des domaines d’intérêt.</w:t>
            </w:r>
          </w:p>
        </w:tc>
      </w:tr>
      <w:tr w:rsidR="0013403C" w:rsidRPr="00705086"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tcPr>
          <w:p w:rsidR="0013403C" w:rsidRPr="00705086" w:rsidRDefault="006D36A5" w:rsidP="0013403C">
            <w:pPr>
              <w:contextualSpacing/>
              <w:jc w:val="center"/>
              <w:rPr>
                <w:rFonts w:cstheme="minorHAnsi"/>
                <w:b/>
                <w:bCs/>
              </w:rPr>
            </w:pPr>
            <w:r>
              <w:rPr>
                <w:rFonts w:cstheme="minorHAnsi"/>
                <w:b/>
                <w:bCs/>
              </w:rPr>
              <w:t>S</w:t>
            </w:r>
            <w:r w:rsidRPr="006D36A5">
              <w:rPr>
                <w:rFonts w:cstheme="minorHAnsi"/>
                <w:b/>
                <w:bCs/>
              </w:rPr>
              <w:t xml:space="preserve">essions </w:t>
            </w:r>
            <w:proofErr w:type="spellStart"/>
            <w:r>
              <w:rPr>
                <w:rFonts w:cstheme="minorHAnsi"/>
                <w:b/>
                <w:bCs/>
              </w:rPr>
              <w:t>P</w:t>
            </w:r>
            <w:r w:rsidRPr="006D36A5">
              <w:rPr>
                <w:rFonts w:cstheme="minorHAnsi"/>
                <w:b/>
                <w:bCs/>
              </w:rPr>
              <w:t>arallèles</w:t>
            </w:r>
            <w:proofErr w:type="spellEnd"/>
            <w:r>
              <w:rPr>
                <w:rFonts w:cstheme="minorHAnsi"/>
                <w:b/>
                <w:bCs/>
              </w:rPr>
              <w:t xml:space="preserve"> </w:t>
            </w:r>
          </w:p>
        </w:tc>
      </w:tr>
      <w:tr w:rsidR="0000628F"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00628F" w:rsidRPr="00B977D8" w:rsidRDefault="0000628F" w:rsidP="001127AA">
            <w:pPr>
              <w:contextualSpacing/>
              <w:jc w:val="both"/>
              <w:rPr>
                <w:rFonts w:cstheme="minorHAnsi"/>
                <w:lang w:val="fr-CH"/>
              </w:rPr>
            </w:pPr>
          </w:p>
          <w:p w:rsidR="0000628F" w:rsidRPr="006D36A5" w:rsidRDefault="00F46EFB" w:rsidP="00653F80">
            <w:pPr>
              <w:contextualSpacing/>
              <w:jc w:val="both"/>
              <w:rPr>
                <w:rFonts w:cstheme="minorHAnsi"/>
                <w:b/>
                <w:bCs/>
                <w:lang w:val="fr-CH"/>
              </w:rPr>
            </w:pPr>
            <w:r>
              <w:rPr>
                <w:rFonts w:cstheme="minorHAnsi"/>
                <w:b/>
                <w:bCs/>
                <w:lang w:val="fr-CH"/>
              </w:rPr>
              <w:t>Première s</w:t>
            </w:r>
            <w:r w:rsidR="006D36A5" w:rsidRPr="006D36A5">
              <w:rPr>
                <w:rFonts w:cstheme="minorHAnsi"/>
                <w:b/>
                <w:bCs/>
                <w:lang w:val="fr-CH"/>
              </w:rPr>
              <w:t>ession parallèle</w:t>
            </w:r>
            <w:r>
              <w:rPr>
                <w:rFonts w:cstheme="minorHAnsi"/>
                <w:b/>
                <w:bCs/>
                <w:lang w:val="fr-CH"/>
              </w:rPr>
              <w:t xml:space="preserve"> </w:t>
            </w:r>
            <w:r w:rsidR="006D36A5" w:rsidRPr="006D36A5">
              <w:rPr>
                <w:rFonts w:cstheme="minorHAnsi"/>
                <w:b/>
                <w:bCs/>
                <w:lang w:val="fr-CH"/>
              </w:rPr>
              <w:t>:</w:t>
            </w:r>
            <w:r w:rsidR="0000628F" w:rsidRPr="006D36A5">
              <w:rPr>
                <w:rFonts w:cstheme="minorHAnsi"/>
                <w:b/>
                <w:bCs/>
                <w:lang w:val="fr-CH"/>
              </w:rPr>
              <w:t xml:space="preserve"> </w:t>
            </w:r>
            <w:r w:rsidR="006D36A5" w:rsidRPr="006D36A5">
              <w:rPr>
                <w:rFonts w:cstheme="minorHAnsi"/>
                <w:b/>
                <w:bCs/>
                <w:lang w:val="fr-CH"/>
              </w:rPr>
              <w:t>Faire progresser l'intégration de l'assistance aux victimes dans les politiques et programmes nationaux plus larges</w:t>
            </w:r>
          </w:p>
          <w:p w:rsidR="0000628F" w:rsidRPr="006D36A5" w:rsidRDefault="0000628F" w:rsidP="0000628F">
            <w:pPr>
              <w:rPr>
                <w:b/>
                <w:bCs/>
                <w:sz w:val="2"/>
                <w:szCs w:val="2"/>
                <w:lang w:val="fr-CH"/>
              </w:rPr>
            </w:pPr>
          </w:p>
          <w:p w:rsidR="0000628F" w:rsidRPr="006D36A5" w:rsidRDefault="0000628F" w:rsidP="00247D72">
            <w:pPr>
              <w:contextualSpacing/>
              <w:jc w:val="lowKashida"/>
              <w:rPr>
                <w:rFonts w:cstheme="minorHAnsi"/>
                <w:lang w:val="fr-CH"/>
              </w:rPr>
            </w:pPr>
          </w:p>
          <w:p w:rsidR="00452BDD" w:rsidRPr="006D36A5" w:rsidRDefault="006D36A5" w:rsidP="00070237">
            <w:pPr>
              <w:jc w:val="lowKashida"/>
              <w:rPr>
                <w:sz w:val="16"/>
                <w:szCs w:val="16"/>
                <w:lang w:val="fr-CH"/>
              </w:rPr>
            </w:pPr>
            <w:r w:rsidRPr="006D36A5">
              <w:rPr>
                <w:lang w:val="fr-CH"/>
              </w:rPr>
              <w:t>Faire progresser l'intégration de l'assistance aux victimes dans les politiques et programmes nationaux plus larges n’est pas une tâche facile.</w:t>
            </w:r>
            <w:r w:rsidR="00070237" w:rsidRPr="006D36A5">
              <w:rPr>
                <w:lang w:val="fr-CH"/>
              </w:rPr>
              <w:t xml:space="preserve"> </w:t>
            </w:r>
            <w:r w:rsidRPr="006D36A5">
              <w:rPr>
                <w:lang w:val="fr-CH"/>
              </w:rPr>
              <w:t xml:space="preserve">Les intervenants aborderont notamment les préoccupations relatives à la perte de vitesse dans la mise en œuvre de l'assistance aux victimes, qui s'intègre de plus en plus dans des cadres plus larges, notamment ceux de la Convention relative aux droits des personnes handicapées. Les discussions de cette session viseront également à identifier ce qui peut être fait pour répondre à ces préoccupations </w:t>
            </w:r>
            <w:r>
              <w:rPr>
                <w:lang w:val="fr-CH"/>
              </w:rPr>
              <w:t>ainsi que le</w:t>
            </w:r>
            <w:r w:rsidRPr="006D36A5">
              <w:rPr>
                <w:lang w:val="fr-CH"/>
              </w:rPr>
              <w:t>s approches permettant de mieux traiter le problème de manière durable.</w:t>
            </w:r>
          </w:p>
          <w:p w:rsidR="00070237" w:rsidRPr="006D36A5" w:rsidRDefault="00070237" w:rsidP="00070237">
            <w:pPr>
              <w:jc w:val="lowKashida"/>
              <w:rPr>
                <w:sz w:val="16"/>
                <w:szCs w:val="16"/>
                <w:lang w:val="fr-CH"/>
              </w:rPr>
            </w:pPr>
          </w:p>
        </w:tc>
      </w:tr>
      <w:tr w:rsidR="00665D41"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6D36A5" w:rsidRPr="00B977D8" w:rsidRDefault="006D36A5" w:rsidP="00653F80">
            <w:pPr>
              <w:contextualSpacing/>
              <w:jc w:val="both"/>
              <w:rPr>
                <w:rFonts w:cstheme="minorHAnsi"/>
                <w:b/>
                <w:bCs/>
                <w:lang w:val="fr-CH"/>
              </w:rPr>
            </w:pPr>
          </w:p>
          <w:p w:rsidR="00665D41" w:rsidRPr="006D36A5" w:rsidRDefault="00F46EFB" w:rsidP="00653F80">
            <w:pPr>
              <w:contextualSpacing/>
              <w:jc w:val="both"/>
              <w:rPr>
                <w:rFonts w:cstheme="minorHAnsi"/>
                <w:b/>
                <w:bCs/>
                <w:lang w:val="fr-CH"/>
              </w:rPr>
            </w:pPr>
            <w:r>
              <w:rPr>
                <w:rFonts w:cstheme="minorHAnsi"/>
                <w:b/>
                <w:bCs/>
                <w:lang w:val="fr-CH"/>
              </w:rPr>
              <w:t>Deuxième s</w:t>
            </w:r>
            <w:r w:rsidR="006D36A5" w:rsidRPr="006D36A5">
              <w:rPr>
                <w:rFonts w:cstheme="minorHAnsi"/>
                <w:b/>
                <w:bCs/>
                <w:lang w:val="fr-CH"/>
              </w:rPr>
              <w:t>ession parallèle</w:t>
            </w:r>
            <w:r>
              <w:rPr>
                <w:rFonts w:cstheme="minorHAnsi"/>
                <w:b/>
                <w:bCs/>
                <w:lang w:val="fr-CH"/>
              </w:rPr>
              <w:t xml:space="preserve"> </w:t>
            </w:r>
            <w:r w:rsidR="00665D41" w:rsidRPr="006D36A5">
              <w:rPr>
                <w:rFonts w:cstheme="minorHAnsi"/>
                <w:b/>
                <w:bCs/>
                <w:lang w:val="fr-CH"/>
              </w:rPr>
              <w:t xml:space="preserve">: </w:t>
            </w:r>
            <w:r w:rsidR="006D36A5">
              <w:rPr>
                <w:rFonts w:cstheme="minorHAnsi"/>
                <w:b/>
                <w:bCs/>
                <w:lang w:val="fr-CH"/>
              </w:rPr>
              <w:t xml:space="preserve">Placer </w:t>
            </w:r>
            <w:r w:rsidR="006D36A5" w:rsidRPr="006D36A5">
              <w:rPr>
                <w:rFonts w:cstheme="minorHAnsi"/>
                <w:b/>
                <w:bCs/>
                <w:lang w:val="fr-CH"/>
              </w:rPr>
              <w:t>l’Inclusion, le Genre et la Diversité au ce</w:t>
            </w:r>
            <w:r w:rsidR="006D36A5">
              <w:rPr>
                <w:rFonts w:cstheme="minorHAnsi"/>
                <w:b/>
                <w:bCs/>
                <w:lang w:val="fr-CH"/>
              </w:rPr>
              <w:t>ntre des efforts</w:t>
            </w:r>
          </w:p>
          <w:p w:rsidR="005606C0" w:rsidRPr="006D36A5" w:rsidRDefault="005606C0" w:rsidP="00653F80">
            <w:pPr>
              <w:contextualSpacing/>
              <w:jc w:val="both"/>
              <w:rPr>
                <w:rFonts w:cstheme="minorHAnsi"/>
                <w:b/>
                <w:bCs/>
                <w:lang w:val="fr-CH"/>
              </w:rPr>
            </w:pPr>
          </w:p>
          <w:p w:rsidR="00970D8E" w:rsidRPr="006D36A5" w:rsidRDefault="006D36A5" w:rsidP="00970D8E">
            <w:pPr>
              <w:contextualSpacing/>
              <w:jc w:val="both"/>
              <w:rPr>
                <w:rFonts w:cstheme="minorHAnsi"/>
                <w:lang w:val="fr-CH"/>
              </w:rPr>
            </w:pPr>
            <w:r w:rsidRPr="006D36A5">
              <w:rPr>
                <w:i/>
                <w:iCs/>
                <w:lang w:val="fr-CH"/>
              </w:rPr>
              <w:t>«</w:t>
            </w:r>
            <w:r w:rsidR="00D146A1">
              <w:rPr>
                <w:i/>
                <w:iCs/>
                <w:lang w:val="fr-CH"/>
              </w:rPr>
              <w:t xml:space="preserve"> </w:t>
            </w:r>
            <w:r w:rsidRPr="006D36A5">
              <w:rPr>
                <w:i/>
                <w:iCs/>
                <w:lang w:val="fr-CH"/>
              </w:rPr>
              <w:t>Rien à propos de nous sans nous.</w:t>
            </w:r>
            <w:r w:rsidR="00D146A1">
              <w:rPr>
                <w:i/>
                <w:iCs/>
                <w:lang w:val="fr-CH"/>
              </w:rPr>
              <w:t xml:space="preserve"> </w:t>
            </w:r>
            <w:r w:rsidRPr="006D36A5">
              <w:rPr>
                <w:i/>
                <w:iCs/>
                <w:lang w:val="fr-CH"/>
              </w:rPr>
              <w:t xml:space="preserve">» </w:t>
            </w:r>
            <w:r w:rsidRPr="006D36A5">
              <w:rPr>
                <w:lang w:val="fr-CH"/>
              </w:rPr>
              <w:t>Dans le but de répondre à cette ambition, les discussions viseront à améliorer la compréhension de l'importance et de la valeur de l'inclusion et de la participation, et à garantir une perspective de genre et de diversité dans les efforts d'assistance aux victimes. Les panélistes discuteront également des moyens de mieux mesurer les efforts pour faire progresser l'inclusion, le genre et la diversité.</w:t>
            </w:r>
          </w:p>
        </w:tc>
      </w:tr>
      <w:tr w:rsidR="00AC41A3" w:rsidRPr="00705086"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tcPr>
          <w:p w:rsidR="000E0A3A" w:rsidRPr="006D36A5" w:rsidRDefault="007C7EEC" w:rsidP="00B14637">
            <w:pPr>
              <w:contextualSpacing/>
              <w:jc w:val="center"/>
              <w:rPr>
                <w:rFonts w:cstheme="minorHAnsi"/>
                <w:sz w:val="16"/>
                <w:szCs w:val="16"/>
                <w:lang w:val="fr-CH"/>
              </w:rPr>
            </w:pPr>
            <w:r>
              <w:rPr>
                <w:rFonts w:cstheme="minorHAnsi"/>
                <w:sz w:val="16"/>
                <w:szCs w:val="16"/>
                <w:lang w:val="fr-CH"/>
              </w:rPr>
              <w:t>(La journée continue)</w:t>
            </w:r>
          </w:p>
          <w:p w:rsidR="00070237" w:rsidRDefault="006D36A5" w:rsidP="00AA4F1C">
            <w:pPr>
              <w:contextualSpacing/>
              <w:jc w:val="both"/>
              <w:rPr>
                <w:rFonts w:cstheme="minorHAnsi"/>
                <w:b/>
                <w:bCs/>
                <w:lang w:val="fr-CH"/>
              </w:rPr>
            </w:pPr>
            <w:r w:rsidRPr="006D36A5">
              <w:rPr>
                <w:rFonts w:cstheme="minorHAnsi"/>
                <w:b/>
                <w:bCs/>
                <w:lang w:val="fr-CH"/>
              </w:rPr>
              <w:lastRenderedPageBreak/>
              <w:t xml:space="preserve">Réception de bienvenue et </w:t>
            </w:r>
            <w:r>
              <w:rPr>
                <w:rFonts w:cstheme="minorHAnsi"/>
                <w:b/>
                <w:bCs/>
                <w:lang w:val="fr-CH"/>
              </w:rPr>
              <w:t>diner</w:t>
            </w:r>
          </w:p>
          <w:p w:rsidR="006D36A5" w:rsidRPr="006D36A5" w:rsidRDefault="006D36A5" w:rsidP="00AA4F1C">
            <w:pPr>
              <w:contextualSpacing/>
              <w:jc w:val="both"/>
              <w:rPr>
                <w:rFonts w:cstheme="minorHAnsi"/>
                <w:b/>
                <w:bCs/>
                <w:lang w:val="fr-CH"/>
              </w:rPr>
            </w:pPr>
          </w:p>
          <w:p w:rsidR="00070237" w:rsidRDefault="006D36A5" w:rsidP="00070237">
            <w:pPr>
              <w:contextualSpacing/>
              <w:rPr>
                <w:rFonts w:cstheme="minorHAnsi"/>
                <w:lang w:val="fr-CH"/>
              </w:rPr>
            </w:pPr>
            <w:r w:rsidRPr="006D36A5">
              <w:rPr>
                <w:rFonts w:cstheme="minorHAnsi"/>
                <w:lang w:val="fr-CH"/>
              </w:rPr>
              <w:t>L'Union européenne et le Royaume hachémite de Jordanie accueillent les participants mondiaux à Amman avec des rafraîchissements et un dîner.</w:t>
            </w:r>
          </w:p>
          <w:p w:rsidR="006D36A5" w:rsidRPr="006D36A5" w:rsidRDefault="006D36A5" w:rsidP="00070237">
            <w:pPr>
              <w:contextualSpacing/>
              <w:rPr>
                <w:rFonts w:cstheme="minorHAnsi"/>
                <w:lang w:val="fr-CH"/>
              </w:rPr>
            </w:pPr>
          </w:p>
          <w:p w:rsidR="00070237" w:rsidRPr="00070237" w:rsidRDefault="00070237" w:rsidP="00070237">
            <w:pPr>
              <w:contextualSpacing/>
              <w:jc w:val="both"/>
              <w:rPr>
                <w:rFonts w:cstheme="minorHAnsi"/>
              </w:rPr>
            </w:pPr>
            <w:r w:rsidRPr="00070237">
              <w:rPr>
                <w:rFonts w:cstheme="minorHAnsi"/>
              </w:rPr>
              <w:t>Location: The Intercontinental Hotel, Amman</w:t>
            </w:r>
          </w:p>
          <w:p w:rsidR="00AC41A3" w:rsidRPr="00705086" w:rsidRDefault="00AC41A3" w:rsidP="00247D72">
            <w:pPr>
              <w:contextualSpacing/>
              <w:jc w:val="both"/>
              <w:rPr>
                <w:rFonts w:cstheme="minorHAnsi"/>
                <w:b/>
                <w:bCs/>
              </w:rPr>
            </w:pPr>
          </w:p>
        </w:tc>
      </w:tr>
      <w:bookmarkEnd w:id="0"/>
      <w:tr w:rsidR="00653F80" w:rsidRPr="008E5FE4" w:rsidTr="007C7EEC">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rPr>
          <w:trHeight w:val="655"/>
        </w:trPr>
        <w:tc>
          <w:tcPr>
            <w:tcW w:w="10773" w:type="dxa"/>
            <w:gridSpan w:val="3"/>
            <w:shd w:val="clear" w:color="auto" w:fill="1F497D" w:themeFill="text2"/>
          </w:tcPr>
          <w:p w:rsidR="00970D8E" w:rsidRPr="00B977D8" w:rsidRDefault="00003F07" w:rsidP="00653F80">
            <w:pPr>
              <w:contextualSpacing/>
              <w:jc w:val="center"/>
              <w:rPr>
                <w:b/>
                <w:bCs/>
                <w:lang w:val="fr-CH" w:eastAsia="de-DE"/>
              </w:rPr>
            </w:pPr>
            <w:r w:rsidRPr="00B977D8">
              <w:rPr>
                <w:lang w:val="fr-CH"/>
              </w:rPr>
              <w:lastRenderedPageBreak/>
              <w:br w:type="page"/>
            </w:r>
          </w:p>
          <w:p w:rsidR="00653F80" w:rsidRPr="003D6686" w:rsidRDefault="003D6686" w:rsidP="007A0047">
            <w:pPr>
              <w:contextualSpacing/>
              <w:jc w:val="center"/>
              <w:rPr>
                <w:b/>
                <w:bCs/>
                <w:color w:val="FFFFFF" w:themeColor="background1"/>
                <w:lang w:val="fr-CH" w:eastAsia="de-DE"/>
              </w:rPr>
            </w:pPr>
            <w:r w:rsidRPr="003D6686">
              <w:rPr>
                <w:b/>
                <w:bCs/>
                <w:color w:val="FFFFFF" w:themeColor="background1"/>
                <w:lang w:val="fr-CH" w:eastAsia="de-DE"/>
              </w:rPr>
              <w:t>Projet de programme</w:t>
            </w:r>
            <w:r w:rsidR="00281D6B" w:rsidRPr="003D6686">
              <w:rPr>
                <w:b/>
                <w:bCs/>
                <w:color w:val="FFFFFF" w:themeColor="background1"/>
                <w:lang w:val="fr-CH" w:eastAsia="de-DE"/>
              </w:rPr>
              <w:t xml:space="preserve"> </w:t>
            </w:r>
            <w:r w:rsidR="007A0047" w:rsidRPr="003D6686">
              <w:rPr>
                <w:b/>
                <w:bCs/>
                <w:color w:val="FFFFFF" w:themeColor="background1"/>
                <w:lang w:val="fr-CH" w:eastAsia="de-DE"/>
              </w:rPr>
              <w:t>(*</w:t>
            </w:r>
            <w:r w:rsidRPr="003D6686">
              <w:rPr>
                <w:b/>
                <w:bCs/>
                <w:color w:val="FFFFFF" w:themeColor="background1"/>
                <w:lang w:val="fr-CH" w:eastAsia="de-DE"/>
              </w:rPr>
              <w:t>au</w:t>
            </w:r>
            <w:r w:rsidR="007A0047" w:rsidRPr="003D6686">
              <w:rPr>
                <w:b/>
                <w:bCs/>
                <w:color w:val="FFFFFF" w:themeColor="background1"/>
                <w:lang w:val="fr-CH" w:eastAsia="de-DE"/>
              </w:rPr>
              <w:t xml:space="preserve"> 8 </w:t>
            </w:r>
            <w:r w:rsidRPr="003D6686">
              <w:rPr>
                <w:b/>
                <w:bCs/>
                <w:color w:val="FFFFFF" w:themeColor="background1"/>
                <w:lang w:val="fr-CH" w:eastAsia="de-DE"/>
              </w:rPr>
              <w:t>août</w:t>
            </w:r>
            <w:r w:rsidR="007A0047" w:rsidRPr="003D6686">
              <w:rPr>
                <w:b/>
                <w:bCs/>
                <w:color w:val="FFFFFF" w:themeColor="background1"/>
                <w:lang w:val="fr-CH" w:eastAsia="de-DE"/>
              </w:rPr>
              <w:t xml:space="preserve"> 2019) </w:t>
            </w:r>
            <w:r w:rsidRPr="003D6686">
              <w:rPr>
                <w:b/>
                <w:bCs/>
                <w:color w:val="FFFFFF" w:themeColor="background1"/>
                <w:lang w:val="fr-CH" w:eastAsia="de-DE"/>
              </w:rPr>
              <w:t>po</w:t>
            </w:r>
            <w:r>
              <w:rPr>
                <w:b/>
                <w:bCs/>
                <w:color w:val="FFFFFF" w:themeColor="background1"/>
                <w:lang w:val="fr-CH" w:eastAsia="de-DE"/>
              </w:rPr>
              <w:t>ur le Deuxième Jour</w:t>
            </w:r>
            <w:r w:rsidR="007A0047" w:rsidRPr="003D6686">
              <w:rPr>
                <w:b/>
                <w:bCs/>
                <w:color w:val="FFFFFF" w:themeColor="background1"/>
                <w:lang w:val="fr-CH" w:eastAsia="de-DE"/>
              </w:rPr>
              <w:t xml:space="preserve"> | </w:t>
            </w:r>
            <w:r>
              <w:rPr>
                <w:b/>
                <w:bCs/>
                <w:color w:val="FFFFFF" w:themeColor="background1"/>
                <w:lang w:val="fr-CH" w:eastAsia="de-DE"/>
              </w:rPr>
              <w:t>Mercredi</w:t>
            </w:r>
            <w:r w:rsidR="007A0047" w:rsidRPr="003D6686">
              <w:rPr>
                <w:b/>
                <w:bCs/>
                <w:color w:val="FFFFFF" w:themeColor="background1"/>
                <w:lang w:val="fr-CH" w:eastAsia="de-DE"/>
              </w:rPr>
              <w:t xml:space="preserve"> 11 </w:t>
            </w:r>
            <w:r>
              <w:rPr>
                <w:b/>
                <w:bCs/>
                <w:color w:val="FFFFFF" w:themeColor="background1"/>
                <w:lang w:val="fr-CH" w:eastAsia="de-DE"/>
              </w:rPr>
              <w:t>s</w:t>
            </w:r>
            <w:r w:rsidR="007A0047" w:rsidRPr="003D6686">
              <w:rPr>
                <w:b/>
                <w:bCs/>
                <w:color w:val="FFFFFF" w:themeColor="background1"/>
                <w:lang w:val="fr-CH" w:eastAsia="de-DE"/>
              </w:rPr>
              <w:t>eptemb</w:t>
            </w:r>
            <w:r>
              <w:rPr>
                <w:b/>
                <w:bCs/>
                <w:color w:val="FFFFFF" w:themeColor="background1"/>
                <w:lang w:val="fr-CH" w:eastAsia="de-DE"/>
              </w:rPr>
              <w:t>re</w:t>
            </w:r>
            <w:r w:rsidR="007A0047" w:rsidRPr="003D6686">
              <w:rPr>
                <w:b/>
                <w:bCs/>
                <w:color w:val="FFFFFF" w:themeColor="background1"/>
                <w:lang w:val="fr-CH" w:eastAsia="de-DE"/>
              </w:rPr>
              <w:t xml:space="preserve"> 2019</w:t>
            </w:r>
          </w:p>
          <w:p w:rsidR="00970D8E" w:rsidRPr="003D6686" w:rsidRDefault="00970D8E" w:rsidP="00653F80">
            <w:pPr>
              <w:contextualSpacing/>
              <w:jc w:val="center"/>
              <w:rPr>
                <w:b/>
                <w:bCs/>
                <w:lang w:val="fr-CH" w:eastAsia="de-DE"/>
              </w:rPr>
            </w:pPr>
          </w:p>
        </w:tc>
      </w:tr>
      <w:tr w:rsidR="00653F80" w:rsidRPr="00705086" w:rsidTr="004A5F8E">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10773" w:type="dxa"/>
            <w:gridSpan w:val="3"/>
          </w:tcPr>
          <w:p w:rsidR="00AA4F1C" w:rsidRPr="003D6686" w:rsidRDefault="00AA4F1C" w:rsidP="00AA4F1C">
            <w:pPr>
              <w:contextualSpacing/>
              <w:jc w:val="both"/>
              <w:rPr>
                <w:rFonts w:cstheme="minorHAnsi"/>
                <w:sz w:val="16"/>
                <w:szCs w:val="16"/>
                <w:lang w:val="fr-CH"/>
              </w:rPr>
            </w:pPr>
          </w:p>
          <w:p w:rsidR="00942DD1" w:rsidRDefault="00653F80" w:rsidP="0044387B">
            <w:pPr>
              <w:contextualSpacing/>
              <w:jc w:val="both"/>
              <w:rPr>
                <w:rFonts w:cstheme="minorHAnsi"/>
                <w:b/>
                <w:bCs/>
              </w:rPr>
            </w:pPr>
            <w:r w:rsidRPr="0025370C">
              <w:rPr>
                <w:rFonts w:cstheme="minorHAnsi"/>
                <w:b/>
                <w:bCs/>
              </w:rPr>
              <w:t>8:30</w:t>
            </w:r>
            <w:r w:rsidRPr="0025370C">
              <w:rPr>
                <w:rFonts w:cstheme="minorHAnsi"/>
                <w:b/>
                <w:bCs/>
              </w:rPr>
              <w:tab/>
            </w:r>
            <w:r w:rsidRPr="00705086">
              <w:rPr>
                <w:rFonts w:cstheme="minorHAnsi"/>
              </w:rPr>
              <w:tab/>
            </w:r>
            <w:proofErr w:type="spellStart"/>
            <w:r w:rsidR="003D6686" w:rsidRPr="003D6686">
              <w:rPr>
                <w:rFonts w:cstheme="minorHAnsi"/>
                <w:b/>
                <w:bCs/>
              </w:rPr>
              <w:t>Voix</w:t>
            </w:r>
            <w:proofErr w:type="spellEnd"/>
            <w:r w:rsidR="003D6686" w:rsidRPr="003D6686">
              <w:rPr>
                <w:rFonts w:cstheme="minorHAnsi"/>
                <w:b/>
                <w:bCs/>
              </w:rPr>
              <w:t xml:space="preserve"> </w:t>
            </w:r>
            <w:proofErr w:type="spellStart"/>
            <w:r w:rsidR="003D6686" w:rsidRPr="003D6686">
              <w:rPr>
                <w:rFonts w:cstheme="minorHAnsi"/>
                <w:b/>
                <w:bCs/>
              </w:rPr>
              <w:t>d'inclusion</w:t>
            </w:r>
            <w:proofErr w:type="spellEnd"/>
          </w:p>
          <w:p w:rsidR="0013403C" w:rsidRPr="00705086" w:rsidRDefault="0013403C" w:rsidP="0044387B">
            <w:pPr>
              <w:contextualSpacing/>
              <w:jc w:val="both"/>
              <w:rPr>
                <w:rFonts w:cstheme="minorHAnsi"/>
                <w:sz w:val="16"/>
                <w:szCs w:val="16"/>
              </w:rPr>
            </w:pPr>
          </w:p>
        </w:tc>
      </w:tr>
      <w:tr w:rsidR="00653F80" w:rsidRPr="008E5FE4" w:rsidTr="004A5F8E">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10773" w:type="dxa"/>
            <w:gridSpan w:val="3"/>
          </w:tcPr>
          <w:p w:rsidR="006F3C05" w:rsidRPr="003D6686" w:rsidRDefault="006F3C05" w:rsidP="00AA4F1C">
            <w:pPr>
              <w:contextualSpacing/>
              <w:jc w:val="both"/>
              <w:rPr>
                <w:rFonts w:cstheme="minorHAnsi"/>
                <w:sz w:val="16"/>
                <w:szCs w:val="16"/>
                <w:lang w:val="fr-CH"/>
              </w:rPr>
            </w:pPr>
          </w:p>
          <w:p w:rsidR="00AA4F1C" w:rsidRDefault="003D6686" w:rsidP="00AA4F1C">
            <w:pPr>
              <w:contextualSpacing/>
              <w:jc w:val="both"/>
              <w:rPr>
                <w:rFonts w:cstheme="minorHAnsi"/>
                <w:b/>
                <w:bCs/>
                <w:lang w:val="fr-CH"/>
              </w:rPr>
            </w:pPr>
            <w:r w:rsidRPr="003D6686">
              <w:rPr>
                <w:rFonts w:cstheme="minorHAnsi"/>
                <w:b/>
                <w:bCs/>
                <w:lang w:val="fr-CH"/>
              </w:rPr>
              <w:t>Deuxième séance plénière</w:t>
            </w:r>
            <w:r>
              <w:rPr>
                <w:rFonts w:cstheme="minorHAnsi"/>
                <w:b/>
                <w:bCs/>
                <w:lang w:val="fr-CH"/>
              </w:rPr>
              <w:t xml:space="preserve"> </w:t>
            </w:r>
            <w:r w:rsidRPr="003D6686">
              <w:rPr>
                <w:rFonts w:cstheme="minorHAnsi"/>
                <w:b/>
                <w:bCs/>
                <w:lang w:val="fr-CH"/>
              </w:rPr>
              <w:t>: Élaborer les politiques et les programmes grâce à la collecte de données</w:t>
            </w:r>
          </w:p>
          <w:p w:rsidR="003D6686" w:rsidRPr="003D6686" w:rsidRDefault="003D6686" w:rsidP="00AA4F1C">
            <w:pPr>
              <w:contextualSpacing/>
              <w:jc w:val="both"/>
              <w:rPr>
                <w:rFonts w:cstheme="minorHAnsi"/>
                <w:b/>
                <w:bCs/>
                <w:lang w:val="fr-CH"/>
              </w:rPr>
            </w:pPr>
          </w:p>
          <w:p w:rsidR="00AA4F1C" w:rsidRPr="00F46EFB" w:rsidRDefault="00F46EFB" w:rsidP="00970D8E">
            <w:pPr>
              <w:contextualSpacing/>
              <w:jc w:val="both"/>
              <w:rPr>
                <w:rFonts w:cstheme="minorHAnsi"/>
                <w:lang w:val="fr-CH"/>
              </w:rPr>
            </w:pPr>
            <w:r w:rsidRPr="00F46EFB">
              <w:rPr>
                <w:lang w:val="fr-CH"/>
              </w:rPr>
              <w:t>Assurer une réponse efficace et effective grâce à des données de haute qualité et actualisées sur le nombre, les défis et les besoins des victimes de mines et des personnes handicapées. Les experts examineront des idées pour améliorer la collecte et la gestion des données dans les pays les plus touchés par les mines et / ou les pays les moins développés. Une série de questions guidera la discussion, notamment sur la manière dont la surveillance nationale de la santé et des traumatismes, le recensement national et d'autres systèmes peuvent aider les États à répondre aux exigences en matière de données, et ce qu'il est possible de faire pour assurer une approche cohérente de la collecte de données.</w:t>
            </w:r>
            <w:r w:rsidR="00970D8E" w:rsidRPr="00F46EFB">
              <w:rPr>
                <w:rFonts w:cstheme="minorHAnsi"/>
                <w:lang w:val="fr-CH"/>
              </w:rPr>
              <w:t xml:space="preserve"> </w:t>
            </w:r>
          </w:p>
        </w:tc>
      </w:tr>
      <w:tr w:rsidR="003D748A" w:rsidRPr="00705086"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tcPr>
          <w:p w:rsidR="003D748A" w:rsidRPr="003D748A" w:rsidRDefault="00F46EFB" w:rsidP="003D748A">
            <w:pPr>
              <w:contextualSpacing/>
              <w:jc w:val="center"/>
              <w:rPr>
                <w:rFonts w:cstheme="minorHAnsi"/>
                <w:b/>
                <w:bCs/>
              </w:rPr>
            </w:pPr>
            <w:r>
              <w:rPr>
                <w:rFonts w:cstheme="minorHAnsi"/>
                <w:b/>
                <w:bCs/>
              </w:rPr>
              <w:t>S</w:t>
            </w:r>
            <w:r w:rsidRPr="006D36A5">
              <w:rPr>
                <w:rFonts w:cstheme="minorHAnsi"/>
                <w:b/>
                <w:bCs/>
              </w:rPr>
              <w:t xml:space="preserve">essions </w:t>
            </w:r>
            <w:proofErr w:type="spellStart"/>
            <w:r>
              <w:rPr>
                <w:rFonts w:cstheme="minorHAnsi"/>
                <w:b/>
                <w:bCs/>
              </w:rPr>
              <w:t>P</w:t>
            </w:r>
            <w:r w:rsidRPr="006D36A5">
              <w:rPr>
                <w:rFonts w:cstheme="minorHAnsi"/>
                <w:b/>
                <w:bCs/>
              </w:rPr>
              <w:t>arallèles</w:t>
            </w:r>
            <w:proofErr w:type="spellEnd"/>
          </w:p>
        </w:tc>
      </w:tr>
      <w:tr w:rsidR="00A3522D"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A3522D" w:rsidRPr="00B977D8" w:rsidRDefault="00A3522D" w:rsidP="00281D6B">
            <w:pPr>
              <w:contextualSpacing/>
              <w:jc w:val="right"/>
              <w:rPr>
                <w:rFonts w:cstheme="minorHAnsi"/>
                <w:b/>
                <w:bCs/>
                <w:color w:val="FFFFFF" w:themeColor="background1"/>
                <w:lang w:val="fr-CH"/>
              </w:rPr>
            </w:pPr>
          </w:p>
          <w:p w:rsidR="00A3522D" w:rsidRPr="006E6EBB" w:rsidRDefault="00F46EFB" w:rsidP="00A3522D">
            <w:pPr>
              <w:contextualSpacing/>
              <w:rPr>
                <w:b/>
                <w:bCs/>
                <w:lang w:val="fr-CH"/>
              </w:rPr>
            </w:pPr>
            <w:r w:rsidRPr="006E6EBB">
              <w:rPr>
                <w:b/>
                <w:bCs/>
                <w:lang w:val="fr-CH"/>
              </w:rPr>
              <w:t xml:space="preserve">Troisième session parallèle </w:t>
            </w:r>
            <w:r w:rsidR="00A3522D" w:rsidRPr="006E6EBB">
              <w:rPr>
                <w:b/>
                <w:bCs/>
                <w:lang w:val="fr-CH"/>
              </w:rPr>
              <w:t xml:space="preserve">: </w:t>
            </w:r>
            <w:r w:rsidR="006E6EBB">
              <w:rPr>
                <w:b/>
                <w:bCs/>
                <w:lang w:val="fr-CH"/>
              </w:rPr>
              <w:t>N’oublier</w:t>
            </w:r>
            <w:r w:rsidR="006E6EBB" w:rsidRPr="006E6EBB">
              <w:rPr>
                <w:b/>
                <w:bCs/>
                <w:lang w:val="fr-CH"/>
              </w:rPr>
              <w:t xml:space="preserve"> personne </w:t>
            </w:r>
            <w:r w:rsidR="00D146A1" w:rsidRPr="006E6EBB">
              <w:rPr>
                <w:b/>
                <w:bCs/>
                <w:lang w:val="fr-CH"/>
              </w:rPr>
              <w:t>derrière ;</w:t>
            </w:r>
            <w:r w:rsidR="006E6EBB" w:rsidRPr="006E6EBB">
              <w:rPr>
                <w:b/>
                <w:bCs/>
                <w:lang w:val="fr-CH"/>
              </w:rPr>
              <w:t xml:space="preserve"> </w:t>
            </w:r>
            <w:r w:rsidR="006E6EBB">
              <w:rPr>
                <w:b/>
                <w:bCs/>
                <w:lang w:val="fr-CH"/>
              </w:rPr>
              <w:t>a</w:t>
            </w:r>
            <w:r w:rsidR="006E6EBB" w:rsidRPr="006E6EBB">
              <w:rPr>
                <w:b/>
                <w:bCs/>
                <w:lang w:val="fr-CH"/>
              </w:rPr>
              <w:t>méliorer l'inclusion sociale et économique</w:t>
            </w:r>
          </w:p>
          <w:p w:rsidR="00A3522D" w:rsidRPr="006E6EBB" w:rsidRDefault="00A3522D" w:rsidP="00A3522D">
            <w:pPr>
              <w:jc w:val="both"/>
              <w:rPr>
                <w:lang w:val="fr-CH"/>
              </w:rPr>
            </w:pPr>
          </w:p>
          <w:p w:rsidR="00A3522D" w:rsidRPr="001E05E2" w:rsidRDefault="001E05E2" w:rsidP="00A3522D">
            <w:pPr>
              <w:contextualSpacing/>
              <w:jc w:val="lowKashida"/>
              <w:rPr>
                <w:lang w:val="fr-CH"/>
              </w:rPr>
            </w:pPr>
            <w:r w:rsidRPr="001E05E2">
              <w:rPr>
                <w:lang w:val="fr-CH"/>
              </w:rPr>
              <w:t>L’inclusion sociale et économique des victimes de mines et d’autres victimes de REG est l’un des plus grands défis des pays touchés par les mines. La session aidera les participants à explorer la complexité et la nécessité de renforcer l'inclusion sociale et économique pour atteindre les groupes les plus vulnérables, notamment les survivants des mines et les autres personnes handicapées vivant dans des zones reculées, ne laissant personne de côté</w:t>
            </w:r>
            <w:r>
              <w:rPr>
                <w:lang w:val="fr-CH"/>
              </w:rPr>
              <w:t>, selon les aspirations de</w:t>
            </w:r>
            <w:r w:rsidRPr="001E05E2">
              <w:rPr>
                <w:lang w:val="fr-CH"/>
              </w:rPr>
              <w:t xml:space="preserve"> l</w:t>
            </w:r>
            <w:r>
              <w:rPr>
                <w:lang w:val="fr-CH"/>
              </w:rPr>
              <w:t xml:space="preserve">’Agenda </w:t>
            </w:r>
            <w:r w:rsidRPr="001E05E2">
              <w:rPr>
                <w:lang w:val="fr-CH"/>
              </w:rPr>
              <w:t>2030.</w:t>
            </w:r>
          </w:p>
        </w:tc>
      </w:tr>
      <w:tr w:rsidR="00942DD1"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942DD1" w:rsidRPr="001E05E2" w:rsidRDefault="00942DD1" w:rsidP="00942DD1">
            <w:pPr>
              <w:contextualSpacing/>
              <w:rPr>
                <w:b/>
                <w:bCs/>
                <w:lang w:val="fr-CH"/>
              </w:rPr>
            </w:pPr>
          </w:p>
          <w:p w:rsidR="0076592B" w:rsidRDefault="00D146A1" w:rsidP="0076592B">
            <w:pPr>
              <w:jc w:val="both"/>
              <w:rPr>
                <w:b/>
                <w:bCs/>
                <w:lang w:val="fr-CH"/>
              </w:rPr>
            </w:pPr>
            <w:r w:rsidRPr="00D146A1">
              <w:rPr>
                <w:b/>
                <w:bCs/>
                <w:lang w:val="fr-CH"/>
              </w:rPr>
              <w:t>Quatrième session parallèle</w:t>
            </w:r>
            <w:r>
              <w:rPr>
                <w:b/>
                <w:bCs/>
                <w:lang w:val="fr-CH"/>
              </w:rPr>
              <w:t xml:space="preserve"> </w:t>
            </w:r>
            <w:r w:rsidRPr="00D146A1">
              <w:rPr>
                <w:b/>
                <w:bCs/>
                <w:lang w:val="fr-CH"/>
              </w:rPr>
              <w:t>: Réduire les pertes de vies humaines et de membres</w:t>
            </w:r>
            <w:r>
              <w:rPr>
                <w:b/>
                <w:bCs/>
                <w:lang w:val="fr-CH"/>
              </w:rPr>
              <w:t xml:space="preserve"> </w:t>
            </w:r>
            <w:r w:rsidRPr="00D146A1">
              <w:rPr>
                <w:b/>
                <w:bCs/>
                <w:lang w:val="fr-CH"/>
              </w:rPr>
              <w:t>; Améliorer l'intervention et la protection en cas d'urgence</w:t>
            </w:r>
          </w:p>
          <w:p w:rsidR="00D146A1" w:rsidRPr="00D146A1" w:rsidRDefault="00D146A1" w:rsidP="0076592B">
            <w:pPr>
              <w:jc w:val="both"/>
              <w:rPr>
                <w:rFonts w:eastAsiaTheme="minorHAnsi" w:cs="Calibri"/>
                <w:i/>
                <w:iCs/>
                <w:lang w:val="fr-CH"/>
              </w:rPr>
            </w:pPr>
          </w:p>
          <w:p w:rsidR="00970D8E" w:rsidRPr="00D146A1" w:rsidRDefault="00D146A1" w:rsidP="00970D8E">
            <w:pPr>
              <w:jc w:val="both"/>
              <w:rPr>
                <w:rFonts w:cstheme="minorHAnsi"/>
                <w:b/>
                <w:bCs/>
                <w:color w:val="FFFFFF" w:themeColor="background1"/>
                <w:lang w:val="fr-CH"/>
              </w:rPr>
            </w:pPr>
            <w:r w:rsidRPr="00D146A1">
              <w:rPr>
                <w:lang w:val="fr-CH"/>
              </w:rPr>
              <w:t xml:space="preserve">Les pertes causées par les mines et autres restes explosifs de guerre ont augmenté ces dernières années. Les personnes handicapées, y compris les victimes des mines et des autres restes </w:t>
            </w:r>
            <w:r w:rsidR="00AC1202" w:rsidRPr="00D146A1">
              <w:rPr>
                <w:lang w:val="fr-CH"/>
              </w:rPr>
              <w:t xml:space="preserve">explosifs </w:t>
            </w:r>
            <w:r w:rsidRPr="00D146A1">
              <w:rPr>
                <w:lang w:val="fr-CH"/>
              </w:rPr>
              <w:t>de guerre, comptent parmi les plus vulnérables en cas de catastrophe naturelle ou d'origine humaine. Que peut-on faire pour réduire les décès causés par les mines et les restes explosifs de guerre</w:t>
            </w:r>
            <w:r>
              <w:rPr>
                <w:lang w:val="fr-CH"/>
              </w:rPr>
              <w:t xml:space="preserve"> </w:t>
            </w:r>
            <w:r w:rsidRPr="00D146A1">
              <w:rPr>
                <w:lang w:val="fr-CH"/>
              </w:rPr>
              <w:t>? Comment appliquer l'article 11 de la Convention relative aux droits des personnes handicapées dans les pays touchés par les mines et les bonnes pratiques visant à assurer la sécurité des personnes handicapées, y compris des survivants des mines, avant, pendant et après les catastrophes</w:t>
            </w:r>
            <w:r>
              <w:rPr>
                <w:lang w:val="fr-CH"/>
              </w:rPr>
              <w:t xml:space="preserve"> </w:t>
            </w:r>
            <w:r w:rsidRPr="00D146A1">
              <w:rPr>
                <w:lang w:val="fr-CH"/>
              </w:rPr>
              <w:t>? Cette session cherchera à répondre à ces questions parmi d’autres, notamment les interventions d’urgence et la protection à long terme.</w:t>
            </w:r>
          </w:p>
        </w:tc>
      </w:tr>
      <w:tr w:rsidR="000E0A3A"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0E0A3A" w:rsidRPr="00D146A1" w:rsidRDefault="000E0A3A" w:rsidP="001127AA">
            <w:pPr>
              <w:contextualSpacing/>
              <w:jc w:val="both"/>
              <w:rPr>
                <w:rFonts w:cstheme="minorHAnsi"/>
                <w:lang w:val="fr-CH"/>
              </w:rPr>
            </w:pPr>
          </w:p>
          <w:p w:rsidR="00D146A1" w:rsidRDefault="00D146A1" w:rsidP="00D146A1">
            <w:pPr>
              <w:contextualSpacing/>
              <w:rPr>
                <w:rFonts w:cstheme="minorHAnsi"/>
                <w:b/>
                <w:bCs/>
                <w:lang w:val="fr-CH"/>
              </w:rPr>
            </w:pPr>
            <w:r w:rsidRPr="0082434E">
              <w:rPr>
                <w:rFonts w:cstheme="minorHAnsi"/>
                <w:b/>
                <w:bCs/>
                <w:lang w:val="fr-CH"/>
              </w:rPr>
              <w:t>Leçons apprises - Défis communs et meilleures pratiques</w:t>
            </w:r>
          </w:p>
          <w:p w:rsidR="00D146A1" w:rsidRPr="0082434E" w:rsidRDefault="00D146A1" w:rsidP="00D146A1">
            <w:pPr>
              <w:contextualSpacing/>
              <w:rPr>
                <w:rFonts w:cstheme="minorHAnsi"/>
                <w:b/>
                <w:bCs/>
                <w:lang w:val="fr-CH"/>
              </w:rPr>
            </w:pPr>
          </w:p>
          <w:p w:rsidR="0025370C" w:rsidRPr="00D146A1" w:rsidRDefault="00D146A1" w:rsidP="00D146A1">
            <w:pPr>
              <w:contextualSpacing/>
              <w:jc w:val="lowKashida"/>
              <w:rPr>
                <w:rFonts w:cstheme="minorHAnsi"/>
                <w:lang w:val="fr-CH"/>
              </w:rPr>
            </w:pPr>
            <w:r w:rsidRPr="0082434E">
              <w:rPr>
                <w:rFonts w:cstheme="minorHAnsi"/>
                <w:lang w:val="fr-CH"/>
              </w:rPr>
              <w:t xml:space="preserve">Une série de séances </w:t>
            </w:r>
            <w:r>
              <w:rPr>
                <w:rFonts w:cstheme="minorHAnsi"/>
                <w:lang w:val="fr-CH"/>
              </w:rPr>
              <w:t>axées sur la</w:t>
            </w:r>
            <w:r w:rsidRPr="0082434E">
              <w:rPr>
                <w:rFonts w:cstheme="minorHAnsi"/>
                <w:lang w:val="fr-CH"/>
              </w:rPr>
              <w:t xml:space="preserve"> coopération régionale sud-sud est prévue pour le déjeuner. Les délégués sont encouragés à assister à une ou plusieurs sessions en fonction de la région, de la langue et / ou des domaines d’intérêt.</w:t>
            </w:r>
          </w:p>
        </w:tc>
      </w:tr>
      <w:tr w:rsidR="0025370C"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9121AB" w:rsidRPr="00D146A1" w:rsidRDefault="009121AB" w:rsidP="009121AB">
            <w:pPr>
              <w:contextualSpacing/>
              <w:rPr>
                <w:rFonts w:cstheme="minorHAnsi"/>
                <w:b/>
                <w:bCs/>
                <w:sz w:val="16"/>
                <w:szCs w:val="16"/>
                <w:lang w:val="fr-CH"/>
              </w:rPr>
            </w:pPr>
          </w:p>
          <w:p w:rsidR="00D146A1" w:rsidRPr="00D146A1" w:rsidRDefault="00D146A1" w:rsidP="00D146A1">
            <w:pPr>
              <w:contextualSpacing/>
              <w:rPr>
                <w:rFonts w:cstheme="minorHAnsi"/>
                <w:b/>
                <w:bCs/>
                <w:lang w:val="fr-CH"/>
              </w:rPr>
            </w:pPr>
            <w:r w:rsidRPr="00D146A1">
              <w:rPr>
                <w:rFonts w:cstheme="minorHAnsi"/>
                <w:b/>
                <w:bCs/>
                <w:lang w:val="fr-CH"/>
              </w:rPr>
              <w:t>Un après-midi de réseautage, d'exploration et d'apprentissage</w:t>
            </w:r>
          </w:p>
          <w:p w:rsidR="00D146A1" w:rsidRPr="00D146A1" w:rsidRDefault="00D146A1" w:rsidP="00D146A1">
            <w:pPr>
              <w:contextualSpacing/>
              <w:rPr>
                <w:rFonts w:cstheme="minorHAnsi"/>
                <w:b/>
                <w:bCs/>
                <w:lang w:val="fr-CH"/>
              </w:rPr>
            </w:pPr>
          </w:p>
          <w:p w:rsidR="0025370C" w:rsidRPr="00D146A1" w:rsidRDefault="00D146A1" w:rsidP="00D146A1">
            <w:pPr>
              <w:contextualSpacing/>
              <w:jc w:val="lowKashida"/>
              <w:rPr>
                <w:rFonts w:cstheme="minorHAnsi"/>
                <w:lang w:val="fr-CH"/>
              </w:rPr>
            </w:pPr>
            <w:r w:rsidRPr="00D146A1">
              <w:rPr>
                <w:rFonts w:cstheme="minorHAnsi"/>
                <w:lang w:val="fr-CH"/>
              </w:rPr>
              <w:t>Trois visites de terrain distinctes fourniront aux participants un aperçu du travail effectué en Jordanie pour fournir une assistance aux survivants des mines et aux autres personnes handicapées.</w:t>
            </w:r>
          </w:p>
        </w:tc>
      </w:tr>
      <w:tr w:rsidR="0025370C" w:rsidRPr="008E5FE4" w:rsidTr="004A5F8E">
        <w:tc>
          <w:tcPr>
            <w:tcW w:w="107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25370C" w:rsidRPr="00D146A1" w:rsidRDefault="00D146A1" w:rsidP="00970D8E">
            <w:pPr>
              <w:contextualSpacing/>
              <w:jc w:val="both"/>
              <w:rPr>
                <w:rFonts w:cstheme="minorHAnsi"/>
                <w:lang w:val="fr-CH"/>
              </w:rPr>
            </w:pPr>
            <w:r w:rsidRPr="00D146A1">
              <w:rPr>
                <w:rFonts w:cstheme="minorHAnsi"/>
                <w:lang w:val="fr-CH"/>
              </w:rPr>
              <w:t>Autres opportunités de réseautage et / ou de formation.</w:t>
            </w:r>
          </w:p>
        </w:tc>
      </w:tr>
      <w:tr w:rsidR="005A7F43" w:rsidRPr="008E5FE4" w:rsidTr="004A5F8E">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rPr>
          <w:gridAfter w:val="1"/>
          <w:wAfter w:w="141" w:type="dxa"/>
        </w:trPr>
        <w:tc>
          <w:tcPr>
            <w:tcW w:w="10632" w:type="dxa"/>
            <w:gridSpan w:val="2"/>
            <w:shd w:val="clear" w:color="auto" w:fill="1F497D" w:themeFill="text2"/>
          </w:tcPr>
          <w:p w:rsidR="00970D8E" w:rsidRPr="00D146A1" w:rsidRDefault="00970D8E" w:rsidP="005A7F43">
            <w:pPr>
              <w:contextualSpacing/>
              <w:jc w:val="center"/>
              <w:rPr>
                <w:b/>
                <w:bCs/>
                <w:lang w:val="fr-CH" w:eastAsia="de-DE"/>
              </w:rPr>
            </w:pPr>
            <w:bookmarkStart w:id="2" w:name="_Hlk11157233"/>
          </w:p>
          <w:p w:rsidR="005A7F43" w:rsidRPr="00D146A1" w:rsidRDefault="00D146A1" w:rsidP="00D146A1">
            <w:pPr>
              <w:contextualSpacing/>
              <w:jc w:val="center"/>
              <w:rPr>
                <w:b/>
                <w:bCs/>
                <w:color w:val="FFFFFF" w:themeColor="background1"/>
                <w:lang w:val="fr-CH" w:eastAsia="de-DE"/>
              </w:rPr>
            </w:pPr>
            <w:r w:rsidRPr="003D6686">
              <w:rPr>
                <w:b/>
                <w:bCs/>
                <w:color w:val="FFFFFF" w:themeColor="background1"/>
                <w:lang w:val="fr-CH" w:eastAsia="de-DE"/>
              </w:rPr>
              <w:lastRenderedPageBreak/>
              <w:t>Projet de programme (*au 8 août 2019) po</w:t>
            </w:r>
            <w:r>
              <w:rPr>
                <w:b/>
                <w:bCs/>
                <w:color w:val="FFFFFF" w:themeColor="background1"/>
                <w:lang w:val="fr-CH" w:eastAsia="de-DE"/>
              </w:rPr>
              <w:t>ur le Troisième Jour</w:t>
            </w:r>
            <w:r w:rsidRPr="003D6686">
              <w:rPr>
                <w:b/>
                <w:bCs/>
                <w:color w:val="FFFFFF" w:themeColor="background1"/>
                <w:lang w:val="fr-CH" w:eastAsia="de-DE"/>
              </w:rPr>
              <w:t xml:space="preserve"> </w:t>
            </w:r>
            <w:r w:rsidR="005A7F43" w:rsidRPr="00D146A1">
              <w:rPr>
                <w:b/>
                <w:bCs/>
                <w:color w:val="FFFFFF" w:themeColor="background1"/>
                <w:lang w:val="fr-CH" w:eastAsia="de-DE"/>
              </w:rPr>
              <w:t xml:space="preserve">| </w:t>
            </w:r>
            <w:r>
              <w:rPr>
                <w:b/>
                <w:bCs/>
                <w:color w:val="FFFFFF" w:themeColor="background1"/>
                <w:lang w:val="fr-CH" w:eastAsia="de-DE"/>
              </w:rPr>
              <w:t>Jeudi</w:t>
            </w:r>
            <w:r w:rsidR="005A7F43" w:rsidRPr="00D146A1">
              <w:rPr>
                <w:b/>
                <w:bCs/>
                <w:color w:val="FFFFFF" w:themeColor="background1"/>
                <w:lang w:val="fr-CH" w:eastAsia="de-DE"/>
              </w:rPr>
              <w:t xml:space="preserve"> 12 </w:t>
            </w:r>
            <w:r>
              <w:rPr>
                <w:b/>
                <w:bCs/>
                <w:color w:val="FFFFFF" w:themeColor="background1"/>
                <w:lang w:val="fr-CH" w:eastAsia="de-DE"/>
              </w:rPr>
              <w:t>s</w:t>
            </w:r>
            <w:r w:rsidR="005A7F43" w:rsidRPr="00D146A1">
              <w:rPr>
                <w:b/>
                <w:bCs/>
                <w:color w:val="FFFFFF" w:themeColor="background1"/>
                <w:lang w:val="fr-CH" w:eastAsia="de-DE"/>
              </w:rPr>
              <w:t>eptembr</w:t>
            </w:r>
            <w:r>
              <w:rPr>
                <w:b/>
                <w:bCs/>
                <w:color w:val="FFFFFF" w:themeColor="background1"/>
                <w:lang w:val="fr-CH" w:eastAsia="de-DE"/>
              </w:rPr>
              <w:t>e</w:t>
            </w:r>
            <w:r w:rsidR="005A7F43" w:rsidRPr="00D146A1">
              <w:rPr>
                <w:b/>
                <w:bCs/>
                <w:color w:val="FFFFFF" w:themeColor="background1"/>
                <w:lang w:val="fr-CH" w:eastAsia="de-DE"/>
              </w:rPr>
              <w:t xml:space="preserve"> 2019 </w:t>
            </w:r>
          </w:p>
          <w:p w:rsidR="00970D8E" w:rsidRPr="00D146A1" w:rsidRDefault="00970D8E" w:rsidP="005A7F43">
            <w:pPr>
              <w:contextualSpacing/>
              <w:jc w:val="center"/>
              <w:rPr>
                <w:b/>
                <w:bCs/>
                <w:lang w:val="fr-CH" w:eastAsia="de-DE"/>
              </w:rPr>
            </w:pPr>
          </w:p>
        </w:tc>
      </w:tr>
      <w:tr w:rsidR="005A7F43" w:rsidRPr="00705086" w:rsidTr="004A5F8E">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rPr>
          <w:gridAfter w:val="1"/>
          <w:wAfter w:w="141" w:type="dxa"/>
        </w:trPr>
        <w:tc>
          <w:tcPr>
            <w:tcW w:w="10632" w:type="dxa"/>
            <w:gridSpan w:val="2"/>
          </w:tcPr>
          <w:p w:rsidR="005A7F43" w:rsidRPr="00D146A1" w:rsidRDefault="005A7F43" w:rsidP="001127AA">
            <w:pPr>
              <w:contextualSpacing/>
              <w:jc w:val="both"/>
              <w:rPr>
                <w:rFonts w:cstheme="minorHAnsi"/>
                <w:sz w:val="16"/>
                <w:szCs w:val="16"/>
                <w:lang w:val="fr-CH"/>
              </w:rPr>
            </w:pPr>
          </w:p>
          <w:p w:rsidR="005A7F43" w:rsidRPr="00705086" w:rsidRDefault="005A7F43" w:rsidP="0013403C">
            <w:pPr>
              <w:contextualSpacing/>
              <w:jc w:val="both"/>
              <w:rPr>
                <w:rFonts w:cstheme="minorHAnsi"/>
              </w:rPr>
            </w:pPr>
            <w:r w:rsidRPr="003D748A">
              <w:rPr>
                <w:rFonts w:cstheme="minorHAnsi"/>
                <w:b/>
                <w:bCs/>
              </w:rPr>
              <w:t>8:30</w:t>
            </w:r>
            <w:r w:rsidRPr="00705086">
              <w:rPr>
                <w:rFonts w:cstheme="minorHAnsi"/>
              </w:rPr>
              <w:tab/>
            </w:r>
            <w:r w:rsidRPr="00705086">
              <w:rPr>
                <w:rFonts w:cstheme="minorHAnsi"/>
              </w:rPr>
              <w:tab/>
            </w:r>
            <w:proofErr w:type="spellStart"/>
            <w:r w:rsidR="0013403C" w:rsidRPr="0013403C">
              <w:rPr>
                <w:rFonts w:cstheme="minorHAnsi"/>
                <w:b/>
                <w:bCs/>
              </w:rPr>
              <w:t>Vo</w:t>
            </w:r>
            <w:r w:rsidR="00D146A1">
              <w:rPr>
                <w:rFonts w:cstheme="minorHAnsi"/>
                <w:b/>
                <w:bCs/>
              </w:rPr>
              <w:t>ix</w:t>
            </w:r>
            <w:proofErr w:type="spellEnd"/>
            <w:r w:rsidR="00D146A1">
              <w:rPr>
                <w:rFonts w:cstheme="minorHAnsi"/>
                <w:b/>
                <w:bCs/>
              </w:rPr>
              <w:t xml:space="preserve"> </w:t>
            </w:r>
            <w:proofErr w:type="spellStart"/>
            <w:r w:rsidR="00D146A1">
              <w:rPr>
                <w:rFonts w:cstheme="minorHAnsi"/>
                <w:b/>
                <w:bCs/>
              </w:rPr>
              <w:t>d’inclusion</w:t>
            </w:r>
            <w:proofErr w:type="spellEnd"/>
          </w:p>
          <w:p w:rsidR="005A7F43" w:rsidRPr="00705086" w:rsidRDefault="005A7F43" w:rsidP="001127AA">
            <w:pPr>
              <w:contextualSpacing/>
              <w:jc w:val="both"/>
              <w:rPr>
                <w:rFonts w:cstheme="minorHAnsi"/>
                <w:sz w:val="16"/>
                <w:szCs w:val="16"/>
              </w:rPr>
            </w:pPr>
          </w:p>
        </w:tc>
      </w:tr>
      <w:tr w:rsidR="005A7F43" w:rsidRPr="008E5FE4" w:rsidTr="004A5F8E">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rPr>
          <w:gridAfter w:val="1"/>
          <w:wAfter w:w="141" w:type="dxa"/>
        </w:trPr>
        <w:tc>
          <w:tcPr>
            <w:tcW w:w="10632" w:type="dxa"/>
            <w:gridSpan w:val="2"/>
          </w:tcPr>
          <w:p w:rsidR="005A7F43" w:rsidRPr="007826C0" w:rsidRDefault="005A7F43" w:rsidP="001127AA">
            <w:pPr>
              <w:contextualSpacing/>
              <w:jc w:val="both"/>
              <w:rPr>
                <w:rFonts w:cstheme="minorHAnsi"/>
                <w:sz w:val="16"/>
                <w:szCs w:val="16"/>
                <w:lang w:val="fr-CH"/>
              </w:rPr>
            </w:pPr>
          </w:p>
          <w:p w:rsidR="007826C0" w:rsidRDefault="007826C0" w:rsidP="009F4631">
            <w:pPr>
              <w:contextualSpacing/>
              <w:jc w:val="both"/>
              <w:rPr>
                <w:rFonts w:cstheme="minorHAnsi"/>
                <w:b/>
                <w:bCs/>
                <w:lang w:val="fr-CH"/>
              </w:rPr>
            </w:pPr>
            <w:r w:rsidRPr="007826C0">
              <w:rPr>
                <w:rFonts w:cstheme="minorHAnsi"/>
                <w:b/>
                <w:bCs/>
                <w:lang w:val="fr-CH"/>
              </w:rPr>
              <w:t>Troisième séance plénière</w:t>
            </w:r>
            <w:r>
              <w:rPr>
                <w:rFonts w:cstheme="minorHAnsi"/>
                <w:b/>
                <w:bCs/>
                <w:lang w:val="fr-CH"/>
              </w:rPr>
              <w:t xml:space="preserve"> </w:t>
            </w:r>
            <w:r w:rsidRPr="007826C0">
              <w:rPr>
                <w:rFonts w:cstheme="minorHAnsi"/>
                <w:b/>
                <w:bCs/>
                <w:lang w:val="fr-CH"/>
              </w:rPr>
              <w:t>: Améliorer la réhabilitation dans les pays touchés par les mines</w:t>
            </w:r>
          </w:p>
          <w:p w:rsidR="007826C0" w:rsidRDefault="007826C0" w:rsidP="009F4631">
            <w:pPr>
              <w:contextualSpacing/>
              <w:jc w:val="both"/>
              <w:rPr>
                <w:rFonts w:cstheme="minorHAnsi"/>
                <w:b/>
                <w:bCs/>
                <w:lang w:val="fr-CH"/>
              </w:rPr>
            </w:pPr>
          </w:p>
          <w:p w:rsidR="005A7F43" w:rsidRPr="007826C0" w:rsidRDefault="007826C0" w:rsidP="009F4631">
            <w:pPr>
              <w:contextualSpacing/>
              <w:jc w:val="both"/>
              <w:rPr>
                <w:rFonts w:cstheme="minorHAnsi"/>
                <w:lang w:val="fr-CH"/>
              </w:rPr>
            </w:pPr>
            <w:r w:rsidRPr="007826C0">
              <w:rPr>
                <w:rFonts w:cstheme="minorHAnsi"/>
                <w:lang w:val="fr-CH"/>
              </w:rPr>
              <w:t>Les États sont confrontés à de graves problèmes pour garantir des services de réadaptation durables aux personnes handicapées, y compris les survivants des mines et des autres restes</w:t>
            </w:r>
            <w:r>
              <w:rPr>
                <w:rFonts w:cstheme="minorHAnsi"/>
                <w:lang w:val="fr-CH"/>
              </w:rPr>
              <w:t xml:space="preserve"> explosifs</w:t>
            </w:r>
            <w:r w:rsidRPr="007826C0">
              <w:rPr>
                <w:rFonts w:cstheme="minorHAnsi"/>
                <w:lang w:val="fr-CH"/>
              </w:rPr>
              <w:t xml:space="preserve"> de guerre</w:t>
            </w:r>
            <w:r>
              <w:rPr>
                <w:rFonts w:cstheme="minorHAnsi"/>
                <w:lang w:val="fr-CH"/>
              </w:rPr>
              <w:t>.</w:t>
            </w:r>
            <w:r w:rsidRPr="007826C0">
              <w:rPr>
                <w:rFonts w:cstheme="minorHAnsi"/>
                <w:lang w:val="fr-CH"/>
              </w:rPr>
              <w:t xml:space="preserve"> Cette session explorera des solutions créatives, stratégiques et réalistes pour surmonter les défis de la réadaptation physique et fonctionnelle. Les discussions porteront sur les moyens d'améliorer les partenariats afin de garantir une rééducation complète des personnes handicapées, y compris des survivants des mines, dans les pays touchés par les mines. Au moyen de questions directrices clés, les participants seront notamment interrogés sur les avantages et les inconvénients des technologies d'assistance avancées par rapport aux technologies d'assistance anciennes dans les pays touchés par les mines, et sur la manière dont les objectifs de développement durable (ODD) peuvent contribuer à la réhabilitation.</w:t>
            </w:r>
          </w:p>
        </w:tc>
      </w:tr>
      <w:tr w:rsidR="0072695D" w:rsidRPr="00705086" w:rsidTr="004A5F8E">
        <w:trPr>
          <w:gridAfter w:val="1"/>
          <w:wAfter w:w="141" w:type="dxa"/>
        </w:trPr>
        <w:tc>
          <w:tcPr>
            <w:tcW w:w="1063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tcPr>
          <w:p w:rsidR="0072695D" w:rsidRPr="00705086" w:rsidRDefault="00D60965" w:rsidP="0072695D">
            <w:pPr>
              <w:contextualSpacing/>
              <w:jc w:val="center"/>
              <w:rPr>
                <w:rFonts w:cstheme="minorHAnsi"/>
                <w:b/>
                <w:bCs/>
              </w:rPr>
            </w:pPr>
            <w:r>
              <w:rPr>
                <w:rFonts w:cstheme="minorHAnsi"/>
                <w:b/>
                <w:bCs/>
              </w:rPr>
              <w:t>S</w:t>
            </w:r>
            <w:r w:rsidRPr="006D36A5">
              <w:rPr>
                <w:rFonts w:cstheme="minorHAnsi"/>
                <w:b/>
                <w:bCs/>
              </w:rPr>
              <w:t xml:space="preserve">essions </w:t>
            </w:r>
            <w:proofErr w:type="spellStart"/>
            <w:r>
              <w:rPr>
                <w:rFonts w:cstheme="minorHAnsi"/>
                <w:b/>
                <w:bCs/>
              </w:rPr>
              <w:t>P</w:t>
            </w:r>
            <w:r w:rsidRPr="006D36A5">
              <w:rPr>
                <w:rFonts w:cstheme="minorHAnsi"/>
                <w:b/>
                <w:bCs/>
              </w:rPr>
              <w:t>arallèles</w:t>
            </w:r>
            <w:proofErr w:type="spellEnd"/>
          </w:p>
        </w:tc>
      </w:tr>
      <w:tr w:rsidR="009F4631" w:rsidRPr="008E5FE4" w:rsidTr="004A5F8E">
        <w:trPr>
          <w:gridAfter w:val="1"/>
          <w:wAfter w:w="141" w:type="dxa"/>
        </w:trPr>
        <w:tc>
          <w:tcPr>
            <w:tcW w:w="1063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9F4631" w:rsidRPr="00D60965" w:rsidRDefault="009F4631" w:rsidP="009F4631">
            <w:pPr>
              <w:contextualSpacing/>
              <w:rPr>
                <w:b/>
                <w:bCs/>
                <w:lang w:val="fr-CH"/>
              </w:rPr>
            </w:pPr>
          </w:p>
          <w:p w:rsidR="00D60965" w:rsidRDefault="00D60965" w:rsidP="009F4631">
            <w:pPr>
              <w:contextualSpacing/>
              <w:rPr>
                <w:b/>
                <w:bCs/>
                <w:lang w:val="fr-CH"/>
              </w:rPr>
            </w:pPr>
            <w:r w:rsidRPr="00D60965">
              <w:rPr>
                <w:b/>
                <w:bCs/>
                <w:lang w:val="fr-CH"/>
              </w:rPr>
              <w:t xml:space="preserve">Cinquième </w:t>
            </w:r>
            <w:r w:rsidRPr="00D146A1">
              <w:rPr>
                <w:b/>
                <w:bCs/>
                <w:lang w:val="fr-CH"/>
              </w:rPr>
              <w:t>session parallèle</w:t>
            </w:r>
            <w:r>
              <w:rPr>
                <w:b/>
                <w:bCs/>
                <w:lang w:val="fr-CH"/>
              </w:rPr>
              <w:t xml:space="preserve"> </w:t>
            </w:r>
            <w:r w:rsidR="00242B83" w:rsidRPr="00D60965">
              <w:rPr>
                <w:b/>
                <w:bCs/>
                <w:lang w:val="fr-CH"/>
              </w:rPr>
              <w:t xml:space="preserve">: </w:t>
            </w:r>
            <w:r w:rsidRPr="00D60965">
              <w:rPr>
                <w:b/>
                <w:bCs/>
                <w:lang w:val="fr-CH"/>
              </w:rPr>
              <w:t>Mesurer l'impact</w:t>
            </w:r>
            <w:r>
              <w:rPr>
                <w:b/>
                <w:bCs/>
                <w:lang w:val="fr-CH"/>
              </w:rPr>
              <w:t xml:space="preserve"> </w:t>
            </w:r>
            <w:r w:rsidRPr="00D60965">
              <w:rPr>
                <w:b/>
                <w:bCs/>
                <w:lang w:val="fr-CH"/>
              </w:rPr>
              <w:t>! L'assistance et les droits peuvent-ils être mesurés</w:t>
            </w:r>
            <w:r>
              <w:rPr>
                <w:b/>
                <w:bCs/>
                <w:lang w:val="fr-CH"/>
              </w:rPr>
              <w:t xml:space="preserve"> </w:t>
            </w:r>
            <w:r w:rsidRPr="00D60965">
              <w:rPr>
                <w:b/>
                <w:bCs/>
                <w:lang w:val="fr-CH"/>
              </w:rPr>
              <w:t>?</w:t>
            </w:r>
          </w:p>
          <w:p w:rsidR="00D60965" w:rsidRDefault="00D60965" w:rsidP="009F4631">
            <w:pPr>
              <w:contextualSpacing/>
              <w:rPr>
                <w:b/>
                <w:bCs/>
                <w:lang w:val="fr-CH"/>
              </w:rPr>
            </w:pPr>
          </w:p>
          <w:p w:rsidR="009F4631" w:rsidRPr="00D60965" w:rsidRDefault="00D60965" w:rsidP="009F4631">
            <w:pPr>
              <w:contextualSpacing/>
              <w:rPr>
                <w:rFonts w:cstheme="minorHAnsi"/>
                <w:color w:val="FFFFFF" w:themeColor="background1"/>
                <w:lang w:val="fr-CH"/>
              </w:rPr>
            </w:pPr>
            <w:r w:rsidRPr="00D60965">
              <w:rPr>
                <w:lang w:val="fr-CH"/>
              </w:rPr>
              <w:t>Améliorer la mesurabilité dans l’assistance aux victimes, y compris dans des cadres plus larges du handicap. Cette session comprendra des présentations d’experts et du travail de groupes. Les experts et les participants discuteront notamment de la manière de mesurer les progrès accomplis dans la réalisation des objectifs d’assistance aux victimes fixés par le plan d’action d’Oslo</w:t>
            </w:r>
            <w:r w:rsidR="007C7EEC">
              <w:rPr>
                <w:rStyle w:val="FootnoteReference"/>
                <w:lang w:val="fr-CH"/>
              </w:rPr>
              <w:footnoteReference w:id="1"/>
            </w:r>
            <w:r w:rsidRPr="00D60965">
              <w:rPr>
                <w:lang w:val="fr-CH"/>
              </w:rPr>
              <w:t xml:space="preserve"> au cours des cinq prochaines années, ainsi que les outils disponibles à cette fin.</w:t>
            </w:r>
          </w:p>
        </w:tc>
      </w:tr>
      <w:tr w:rsidR="009F4631" w:rsidRPr="008E5FE4" w:rsidTr="004A5F8E">
        <w:trPr>
          <w:gridAfter w:val="1"/>
          <w:wAfter w:w="141" w:type="dxa"/>
        </w:trPr>
        <w:tc>
          <w:tcPr>
            <w:tcW w:w="1063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2218B8" w:rsidRPr="00D60965" w:rsidRDefault="002218B8" w:rsidP="002218B8">
            <w:pPr>
              <w:contextualSpacing/>
              <w:rPr>
                <w:b/>
                <w:bCs/>
                <w:lang w:val="fr-CH"/>
              </w:rPr>
            </w:pPr>
          </w:p>
          <w:p w:rsidR="007C7EEC" w:rsidRDefault="00D60965" w:rsidP="00970D8E">
            <w:pPr>
              <w:jc w:val="lowKashida"/>
              <w:rPr>
                <w:b/>
                <w:bCs/>
                <w:lang w:val="fr-CH"/>
              </w:rPr>
            </w:pPr>
            <w:r w:rsidRPr="007C7EEC">
              <w:rPr>
                <w:b/>
                <w:bCs/>
                <w:lang w:val="fr-CH"/>
              </w:rPr>
              <w:t xml:space="preserve">Sixième session parallèle </w:t>
            </w:r>
            <w:r w:rsidR="002218B8" w:rsidRPr="007C7EEC">
              <w:rPr>
                <w:b/>
                <w:bCs/>
                <w:lang w:val="fr-CH"/>
              </w:rPr>
              <w:t>:</w:t>
            </w:r>
            <w:r w:rsidR="009F4631" w:rsidRPr="007C7EEC">
              <w:rPr>
                <w:b/>
                <w:bCs/>
                <w:lang w:val="fr-CH"/>
              </w:rPr>
              <w:t xml:space="preserve"> </w:t>
            </w:r>
            <w:r w:rsidR="007C7EEC" w:rsidRPr="007C7EEC">
              <w:rPr>
                <w:b/>
                <w:bCs/>
                <w:lang w:val="fr-CH"/>
              </w:rPr>
              <w:t>Amélioration du soutien psychologique</w:t>
            </w:r>
            <w:r w:rsidR="007C7EEC">
              <w:rPr>
                <w:b/>
                <w:bCs/>
                <w:lang w:val="fr-CH"/>
              </w:rPr>
              <w:t xml:space="preserve"> </w:t>
            </w:r>
            <w:r w:rsidR="007C7EEC" w:rsidRPr="007C7EEC">
              <w:rPr>
                <w:b/>
                <w:bCs/>
                <w:lang w:val="fr-CH"/>
              </w:rPr>
              <w:t>; Profiter du soutien entre pairs</w:t>
            </w:r>
          </w:p>
          <w:p w:rsidR="007C7EEC" w:rsidRDefault="007C7EEC" w:rsidP="00970D8E">
            <w:pPr>
              <w:jc w:val="lowKashida"/>
              <w:rPr>
                <w:b/>
                <w:bCs/>
                <w:lang w:val="fr-CH"/>
              </w:rPr>
            </w:pPr>
          </w:p>
          <w:p w:rsidR="00DF428C" w:rsidRPr="007C7EEC" w:rsidRDefault="007C7EEC" w:rsidP="00970D8E">
            <w:pPr>
              <w:jc w:val="lowKashida"/>
              <w:rPr>
                <w:lang w:val="fr-CH"/>
              </w:rPr>
            </w:pPr>
            <w:r w:rsidRPr="007C7EEC">
              <w:rPr>
                <w:lang w:val="fr-CH"/>
              </w:rPr>
              <w:t>Le soutien psychologique et psychosocial est un aspect essentiel de l'assistance aux victimes. Pourquoi peu d'attention y est alors portée ? Cette session explorera les défis et les lacunes qui demeurent en matière de soutien psychologique / psychosocial qui devraient être abordés et les outils et ressources disponibles pour les décideurs et les praticiens. Les questions principales comprennent pourquoi le soutien psychologique / psychosocial doit être placé au centre des efforts.</w:t>
            </w:r>
          </w:p>
        </w:tc>
      </w:tr>
      <w:tr w:rsidR="00DF428C" w:rsidRPr="008E5FE4" w:rsidTr="004A5F8E">
        <w:trPr>
          <w:gridAfter w:val="1"/>
          <w:wAfter w:w="141" w:type="dxa"/>
        </w:trPr>
        <w:tc>
          <w:tcPr>
            <w:tcW w:w="1063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DF428C" w:rsidRPr="007C7EEC" w:rsidRDefault="00DF428C" w:rsidP="009F4631">
            <w:pPr>
              <w:contextualSpacing/>
              <w:rPr>
                <w:lang w:val="fr-CH"/>
              </w:rPr>
            </w:pPr>
          </w:p>
          <w:p w:rsidR="007C7EEC" w:rsidRDefault="007C7EEC" w:rsidP="007C7EEC">
            <w:pPr>
              <w:contextualSpacing/>
              <w:rPr>
                <w:rFonts w:cstheme="minorHAnsi"/>
                <w:b/>
                <w:bCs/>
                <w:lang w:val="fr-CH"/>
              </w:rPr>
            </w:pPr>
            <w:r w:rsidRPr="0082434E">
              <w:rPr>
                <w:rFonts w:cstheme="minorHAnsi"/>
                <w:b/>
                <w:bCs/>
                <w:lang w:val="fr-CH"/>
              </w:rPr>
              <w:t>Leçons apprises - Défis communs et meilleures pratiques</w:t>
            </w:r>
          </w:p>
          <w:p w:rsidR="007C7EEC" w:rsidRPr="0082434E" w:rsidRDefault="007C7EEC" w:rsidP="007C7EEC">
            <w:pPr>
              <w:contextualSpacing/>
              <w:rPr>
                <w:rFonts w:cstheme="minorHAnsi"/>
                <w:b/>
                <w:bCs/>
                <w:lang w:val="fr-CH"/>
              </w:rPr>
            </w:pPr>
          </w:p>
          <w:p w:rsidR="0072695D" w:rsidRPr="007C7EEC" w:rsidRDefault="007C7EEC" w:rsidP="007C7EEC">
            <w:pPr>
              <w:ind w:right="-104"/>
              <w:contextualSpacing/>
              <w:rPr>
                <w:lang w:val="fr-CH"/>
              </w:rPr>
            </w:pPr>
            <w:r w:rsidRPr="0082434E">
              <w:rPr>
                <w:rFonts w:cstheme="minorHAnsi"/>
                <w:lang w:val="fr-CH"/>
              </w:rPr>
              <w:t xml:space="preserve">Une série de séances </w:t>
            </w:r>
            <w:r>
              <w:rPr>
                <w:rFonts w:cstheme="minorHAnsi"/>
                <w:lang w:val="fr-CH"/>
              </w:rPr>
              <w:t>axées sur la</w:t>
            </w:r>
            <w:r w:rsidRPr="0082434E">
              <w:rPr>
                <w:rFonts w:cstheme="minorHAnsi"/>
                <w:lang w:val="fr-CH"/>
              </w:rPr>
              <w:t xml:space="preserve"> coopération régionale sud-sud est prévue pour le déjeuner. Les délégués sont encouragés à assister à une ou plusieurs sessions en fonction de la région, de la langue et / ou des domaines d’intérêt.</w:t>
            </w:r>
          </w:p>
        </w:tc>
      </w:tr>
      <w:tr w:rsidR="002218B8" w:rsidRPr="008E5FE4" w:rsidTr="004A5F8E">
        <w:trPr>
          <w:gridAfter w:val="1"/>
          <w:wAfter w:w="141" w:type="dxa"/>
        </w:trPr>
        <w:tc>
          <w:tcPr>
            <w:tcW w:w="1063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2218B8" w:rsidRPr="007C7EEC" w:rsidRDefault="002218B8" w:rsidP="009F4631">
            <w:pPr>
              <w:contextualSpacing/>
              <w:rPr>
                <w:lang w:val="fr-CH"/>
              </w:rPr>
            </w:pPr>
          </w:p>
          <w:p w:rsidR="007C7EEC" w:rsidRDefault="007C7EEC" w:rsidP="009F4631">
            <w:pPr>
              <w:contextualSpacing/>
              <w:rPr>
                <w:b/>
                <w:bCs/>
                <w:lang w:val="fr-CH"/>
              </w:rPr>
            </w:pPr>
            <w:r w:rsidRPr="007C7EEC">
              <w:rPr>
                <w:b/>
                <w:bCs/>
                <w:lang w:val="fr-CH"/>
              </w:rPr>
              <w:t>Quatrième séance plénière</w:t>
            </w:r>
            <w:r>
              <w:rPr>
                <w:b/>
                <w:bCs/>
                <w:lang w:val="fr-CH"/>
              </w:rPr>
              <w:t xml:space="preserve"> </w:t>
            </w:r>
            <w:r w:rsidRPr="007C7EEC">
              <w:rPr>
                <w:b/>
                <w:bCs/>
                <w:lang w:val="fr-CH"/>
              </w:rPr>
              <w:t>: coopération et assistance</w:t>
            </w:r>
            <w:r>
              <w:rPr>
                <w:b/>
                <w:bCs/>
                <w:lang w:val="fr-CH"/>
              </w:rPr>
              <w:t xml:space="preserve"> </w:t>
            </w:r>
            <w:r w:rsidRPr="007C7EEC">
              <w:rPr>
                <w:b/>
                <w:bCs/>
                <w:lang w:val="fr-CH"/>
              </w:rPr>
              <w:t>; Promouvoir les partenariats</w:t>
            </w:r>
          </w:p>
          <w:p w:rsidR="007C7EEC" w:rsidRDefault="007C7EEC" w:rsidP="009F4631">
            <w:pPr>
              <w:contextualSpacing/>
              <w:rPr>
                <w:b/>
                <w:bCs/>
                <w:lang w:val="fr-CH"/>
              </w:rPr>
            </w:pPr>
          </w:p>
          <w:p w:rsidR="002218B8" w:rsidRPr="007C7EEC" w:rsidRDefault="007C7EEC" w:rsidP="009F4631">
            <w:pPr>
              <w:contextualSpacing/>
              <w:rPr>
                <w:lang w:val="fr-CH"/>
              </w:rPr>
            </w:pPr>
            <w:r w:rsidRPr="007C7EEC">
              <w:rPr>
                <w:lang w:val="fr-CH"/>
              </w:rPr>
              <w:t xml:space="preserve">À la recherche de solutions. Les États parties qui comptent un nombre important de survivants de mines antipersonnel signalent en permanence que les pénuries de ressources entravent les efforts déployés pour répondre aux besoins des victimes des mines et pour l'exercice de leurs droits. Dans le but de rechercher des solutions à ce problème, les intervenants examineront des questions clés sur la manière dont les aspects de l'assistance aux victimes peuvent être traités, notamment dans le cadre du prochain plan d'action d'Oslo. Les principaux donateurs, partenaires et praticiens examineront </w:t>
            </w:r>
            <w:r>
              <w:rPr>
                <w:lang w:val="fr-CH"/>
              </w:rPr>
              <w:t>si ce qui est fait est suffisant</w:t>
            </w:r>
            <w:r w:rsidRPr="007C7EEC">
              <w:rPr>
                <w:lang w:val="fr-CH"/>
              </w:rPr>
              <w:t xml:space="preserve"> pour relier </w:t>
            </w:r>
            <w:r>
              <w:rPr>
                <w:lang w:val="fr-CH"/>
              </w:rPr>
              <w:t xml:space="preserve">les différents </w:t>
            </w:r>
            <w:r w:rsidRPr="007C7EEC">
              <w:rPr>
                <w:lang w:val="fr-CH"/>
              </w:rPr>
              <w:t>secteurs afin de garantir une réponse globale et des actions de suivi réalistes.</w:t>
            </w:r>
          </w:p>
        </w:tc>
      </w:tr>
      <w:tr w:rsidR="002218B8" w:rsidRPr="008E5FE4" w:rsidTr="004A5F8E">
        <w:trPr>
          <w:gridAfter w:val="1"/>
          <w:wAfter w:w="141" w:type="dxa"/>
        </w:trPr>
        <w:tc>
          <w:tcPr>
            <w:tcW w:w="1063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7C7EEC" w:rsidRPr="007C7EEC" w:rsidRDefault="007C7EEC" w:rsidP="007C7EEC">
            <w:pPr>
              <w:contextualSpacing/>
              <w:rPr>
                <w:b/>
                <w:bCs/>
                <w:lang w:val="fr-CH"/>
              </w:rPr>
            </w:pPr>
            <w:r w:rsidRPr="007C7EEC">
              <w:rPr>
                <w:b/>
                <w:bCs/>
                <w:lang w:val="fr-CH"/>
              </w:rPr>
              <w:t>Dernier appel</w:t>
            </w:r>
            <w:r>
              <w:rPr>
                <w:b/>
                <w:bCs/>
                <w:lang w:val="fr-CH"/>
              </w:rPr>
              <w:t xml:space="preserve"> </w:t>
            </w:r>
            <w:r w:rsidRPr="007C7EEC">
              <w:rPr>
                <w:b/>
                <w:bCs/>
                <w:lang w:val="fr-CH"/>
              </w:rPr>
              <w:t>: Partenariats avant et après Oslo</w:t>
            </w:r>
          </w:p>
          <w:p w:rsidR="001D7D2E" w:rsidRPr="007C7EEC" w:rsidRDefault="007C7EEC" w:rsidP="007C7EEC">
            <w:pPr>
              <w:rPr>
                <w:lang w:val="fr-CH"/>
              </w:rPr>
            </w:pPr>
            <w:r w:rsidRPr="007C7EEC">
              <w:rPr>
                <w:lang w:val="fr-CH"/>
              </w:rPr>
              <w:t>Mot de la fin, attentes et prochaines étapes à suivre.</w:t>
            </w:r>
          </w:p>
        </w:tc>
      </w:tr>
      <w:bookmarkEnd w:id="2"/>
    </w:tbl>
    <w:p w:rsidR="006256FF" w:rsidRPr="007C7EEC" w:rsidRDefault="006256FF" w:rsidP="007C7EEC">
      <w:pPr>
        <w:rPr>
          <w:lang w:val="fr-CH"/>
        </w:rPr>
      </w:pPr>
    </w:p>
    <w:sectPr w:rsidR="006256FF" w:rsidRPr="007C7EEC" w:rsidSect="00E6522F">
      <w:footerReference w:type="default" r:id="rId8"/>
      <w:headerReference w:type="first" r:id="rId9"/>
      <w:footerReference w:type="first" r:id="rId10"/>
      <w:type w:val="continuous"/>
      <w:pgSz w:w="11906" w:h="16838"/>
      <w:pgMar w:top="99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DD1" w:rsidRDefault="00BF5DD1" w:rsidP="008C6AF3">
      <w:pPr>
        <w:spacing w:after="0" w:line="240" w:lineRule="auto"/>
      </w:pPr>
      <w:r>
        <w:separator/>
      </w:r>
    </w:p>
  </w:endnote>
  <w:endnote w:type="continuationSeparator" w:id="0">
    <w:p w:rsidR="00BF5DD1" w:rsidRDefault="00BF5DD1" w:rsidP="008C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971929"/>
      <w:docPartObj>
        <w:docPartGallery w:val="Page Numbers (Bottom of Page)"/>
        <w:docPartUnique/>
      </w:docPartObj>
    </w:sdtPr>
    <w:sdtEndPr>
      <w:rPr>
        <w:noProof/>
        <w:color w:val="1F497D" w:themeColor="text2"/>
        <w:sz w:val="20"/>
        <w:szCs w:val="20"/>
      </w:rPr>
    </w:sdtEndPr>
    <w:sdtContent>
      <w:p w:rsidR="008C6AF3" w:rsidRPr="00EE0DAB" w:rsidRDefault="001D7D2E" w:rsidP="001D7D2E">
        <w:pPr>
          <w:pStyle w:val="Footer"/>
          <w:tabs>
            <w:tab w:val="left" w:pos="5485"/>
            <w:tab w:val="right" w:pos="9638"/>
          </w:tabs>
          <w:rPr>
            <w:color w:val="1F497D" w:themeColor="text2"/>
            <w:sz w:val="20"/>
            <w:szCs w:val="20"/>
          </w:rPr>
        </w:pPr>
        <w:r>
          <w:tab/>
        </w:r>
        <w:r>
          <w:tab/>
        </w:r>
        <w:r>
          <w:tab/>
        </w:r>
        <w:r w:rsidR="00EE0DAB" w:rsidRPr="00EE0DAB">
          <w:rPr>
            <w:b/>
            <w:bCs/>
            <w:color w:val="1F497D" w:themeColor="text2"/>
            <w:sz w:val="20"/>
            <w:szCs w:val="20"/>
          </w:rPr>
          <w:fldChar w:fldCharType="begin"/>
        </w:r>
        <w:r w:rsidR="00EE0DAB" w:rsidRPr="00EE0DAB">
          <w:rPr>
            <w:b/>
            <w:bCs/>
            <w:color w:val="1F497D" w:themeColor="text2"/>
            <w:sz w:val="20"/>
            <w:szCs w:val="20"/>
          </w:rPr>
          <w:instrText xml:space="preserve"> PAGE   \* MERGEFORMAT </w:instrText>
        </w:r>
        <w:r w:rsidR="00EE0DAB" w:rsidRPr="00EE0DAB">
          <w:rPr>
            <w:b/>
            <w:bCs/>
            <w:color w:val="1F497D" w:themeColor="text2"/>
            <w:sz w:val="20"/>
            <w:szCs w:val="20"/>
          </w:rPr>
          <w:fldChar w:fldCharType="separate"/>
        </w:r>
        <w:r w:rsidR="005113E8">
          <w:rPr>
            <w:b/>
            <w:bCs/>
            <w:noProof/>
            <w:color w:val="1F497D" w:themeColor="text2"/>
            <w:sz w:val="20"/>
            <w:szCs w:val="20"/>
          </w:rPr>
          <w:t>3</w:t>
        </w:r>
        <w:r w:rsidR="00EE0DAB" w:rsidRPr="00EE0DAB">
          <w:rPr>
            <w:b/>
            <w:bCs/>
            <w:noProof/>
            <w:color w:val="1F497D" w:themeColor="text2"/>
            <w:sz w:val="20"/>
            <w:szCs w:val="20"/>
          </w:rPr>
          <w:fldChar w:fldCharType="end"/>
        </w:r>
        <w:r w:rsidR="00EE0DAB" w:rsidRPr="00EE0DAB">
          <w:rPr>
            <w:b/>
            <w:bCs/>
            <w:noProof/>
            <w:color w:val="1F497D" w:themeColor="text2"/>
            <w:sz w:val="20"/>
            <w:szCs w:val="20"/>
          </w:rPr>
          <w:t xml:space="preserve"> |</w:t>
        </w:r>
        <w:r w:rsidR="00EE0DAB">
          <w:rPr>
            <w:noProof/>
            <w:color w:val="1F497D" w:themeColor="text2"/>
            <w:sz w:val="20"/>
            <w:szCs w:val="20"/>
          </w:rPr>
          <w:t xml:space="preserve"> </w:t>
        </w:r>
        <w:r w:rsidR="00EE0DAB" w:rsidRPr="00EE0DAB">
          <w:rPr>
            <w:b/>
            <w:bCs/>
            <w:noProof/>
            <w:color w:val="1F497D" w:themeColor="text2"/>
            <w:sz w:val="20"/>
            <w:szCs w:val="20"/>
          </w:rPr>
          <w:t>#FosteringPartnerships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837899"/>
      <w:docPartObj>
        <w:docPartGallery w:val="Page Numbers (Bottom of Page)"/>
        <w:docPartUnique/>
      </w:docPartObj>
    </w:sdtPr>
    <w:sdtEndPr>
      <w:rPr>
        <w:noProof/>
        <w:color w:val="1F497D" w:themeColor="text2"/>
        <w:sz w:val="20"/>
        <w:szCs w:val="20"/>
      </w:rPr>
    </w:sdtEndPr>
    <w:sdtContent>
      <w:p w:rsidR="00247D72" w:rsidRPr="0044387B" w:rsidRDefault="0044387B" w:rsidP="0044387B">
        <w:pPr>
          <w:pStyle w:val="Footer"/>
          <w:jc w:val="right"/>
          <w:rPr>
            <w:color w:val="1F497D" w:themeColor="text2"/>
            <w:sz w:val="20"/>
            <w:szCs w:val="20"/>
          </w:rPr>
        </w:pPr>
        <w:r w:rsidRPr="00EE0DAB">
          <w:rPr>
            <w:b/>
            <w:bCs/>
            <w:color w:val="1F497D" w:themeColor="text2"/>
            <w:sz w:val="20"/>
            <w:szCs w:val="20"/>
          </w:rPr>
          <w:fldChar w:fldCharType="begin"/>
        </w:r>
        <w:r w:rsidRPr="00EE0DAB">
          <w:rPr>
            <w:b/>
            <w:bCs/>
            <w:color w:val="1F497D" w:themeColor="text2"/>
            <w:sz w:val="20"/>
            <w:szCs w:val="20"/>
          </w:rPr>
          <w:instrText xml:space="preserve"> PAGE   \* MERGEFORMAT </w:instrText>
        </w:r>
        <w:r w:rsidRPr="00EE0DAB">
          <w:rPr>
            <w:b/>
            <w:bCs/>
            <w:color w:val="1F497D" w:themeColor="text2"/>
            <w:sz w:val="20"/>
            <w:szCs w:val="20"/>
          </w:rPr>
          <w:fldChar w:fldCharType="separate"/>
        </w:r>
        <w:r w:rsidR="005113E8">
          <w:rPr>
            <w:b/>
            <w:bCs/>
            <w:noProof/>
            <w:color w:val="1F497D" w:themeColor="text2"/>
            <w:sz w:val="20"/>
            <w:szCs w:val="20"/>
          </w:rPr>
          <w:t>1</w:t>
        </w:r>
        <w:r w:rsidRPr="00EE0DAB">
          <w:rPr>
            <w:b/>
            <w:bCs/>
            <w:noProof/>
            <w:color w:val="1F497D" w:themeColor="text2"/>
            <w:sz w:val="20"/>
            <w:szCs w:val="20"/>
          </w:rPr>
          <w:fldChar w:fldCharType="end"/>
        </w:r>
        <w:r w:rsidRPr="00EE0DAB">
          <w:rPr>
            <w:b/>
            <w:bCs/>
            <w:noProof/>
            <w:color w:val="1F497D" w:themeColor="text2"/>
            <w:sz w:val="20"/>
            <w:szCs w:val="20"/>
          </w:rPr>
          <w:t xml:space="preserve"> |</w:t>
        </w:r>
        <w:r>
          <w:rPr>
            <w:noProof/>
            <w:color w:val="1F497D" w:themeColor="text2"/>
            <w:sz w:val="20"/>
            <w:szCs w:val="20"/>
          </w:rPr>
          <w:t xml:space="preserve"> </w:t>
        </w:r>
        <w:r w:rsidRPr="00EE0DAB">
          <w:rPr>
            <w:b/>
            <w:bCs/>
            <w:noProof/>
            <w:color w:val="1F497D" w:themeColor="text2"/>
            <w:sz w:val="20"/>
            <w:szCs w:val="20"/>
          </w:rPr>
          <w:t>#FosteringPartnerships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DD1" w:rsidRDefault="00BF5DD1" w:rsidP="008C6AF3">
      <w:pPr>
        <w:spacing w:after="0" w:line="240" w:lineRule="auto"/>
      </w:pPr>
      <w:r>
        <w:separator/>
      </w:r>
    </w:p>
  </w:footnote>
  <w:footnote w:type="continuationSeparator" w:id="0">
    <w:p w:rsidR="00BF5DD1" w:rsidRDefault="00BF5DD1" w:rsidP="008C6AF3">
      <w:pPr>
        <w:spacing w:after="0" w:line="240" w:lineRule="auto"/>
      </w:pPr>
      <w:r>
        <w:continuationSeparator/>
      </w:r>
    </w:p>
  </w:footnote>
  <w:footnote w:id="1">
    <w:p w:rsidR="007C7EEC" w:rsidRPr="00C26DC5" w:rsidRDefault="007C7EEC">
      <w:pPr>
        <w:pStyle w:val="FootnoteText"/>
        <w:rPr>
          <w:lang w:val="fr-CH"/>
        </w:rPr>
      </w:pPr>
      <w:r>
        <w:rPr>
          <w:rStyle w:val="FootnoteReference"/>
        </w:rPr>
        <w:footnoteRef/>
      </w:r>
      <w:r w:rsidRPr="00C26DC5">
        <w:rPr>
          <w:lang w:val="fr-CH"/>
        </w:rPr>
        <w:t xml:space="preserve"> </w:t>
      </w:r>
      <w:r w:rsidR="00C26DC5" w:rsidRPr="00C26DC5">
        <w:rPr>
          <w:sz w:val="16"/>
          <w:szCs w:val="16"/>
          <w:lang w:val="fr-CH"/>
        </w:rPr>
        <w:t>Un p</w:t>
      </w:r>
      <w:r w:rsidR="00C26DC5">
        <w:rPr>
          <w:sz w:val="16"/>
          <w:szCs w:val="16"/>
          <w:lang w:val="fr-CH"/>
        </w:rPr>
        <w:t xml:space="preserve">remier projet du </w:t>
      </w:r>
      <w:r w:rsidR="00C26DC5" w:rsidRPr="00C26DC5">
        <w:rPr>
          <w:sz w:val="16"/>
          <w:szCs w:val="16"/>
          <w:lang w:val="fr-CH"/>
        </w:rPr>
        <w:t>plan d'action d'Oslo sera disponible au moment de la conférence.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144"/>
      <w:gridCol w:w="3544"/>
    </w:tblGrid>
    <w:tr w:rsidR="007C60FB" w:rsidTr="001127AA">
      <w:tc>
        <w:tcPr>
          <w:tcW w:w="2660" w:type="dxa"/>
        </w:tcPr>
        <w:p w:rsidR="007C60FB" w:rsidRDefault="007C60FB" w:rsidP="001127AA">
          <w:pPr>
            <w:pStyle w:val="Header"/>
          </w:pPr>
          <w:r>
            <w:rPr>
              <w:noProof/>
              <w:lang w:val="fr-CH" w:eastAsia="fr-CH"/>
            </w:rPr>
            <w:drawing>
              <wp:inline distT="0" distB="0" distL="0" distR="0" wp14:anchorId="09702BEB" wp14:editId="2F518EF1">
                <wp:extent cx="1134110" cy="774065"/>
                <wp:effectExtent l="0" t="0" r="8890" b="698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74065"/>
                        </a:xfrm>
                        <a:prstGeom prst="rect">
                          <a:avLst/>
                        </a:prstGeom>
                        <a:noFill/>
                      </pic:spPr>
                    </pic:pic>
                  </a:graphicData>
                </a:graphic>
              </wp:inline>
            </w:drawing>
          </w:r>
        </w:p>
      </w:tc>
      <w:tc>
        <w:tcPr>
          <w:tcW w:w="4144" w:type="dxa"/>
        </w:tcPr>
        <w:p w:rsidR="007C60FB" w:rsidRDefault="007C60FB" w:rsidP="001127AA">
          <w:pPr>
            <w:pStyle w:val="Header"/>
            <w:jc w:val="center"/>
          </w:pPr>
          <w:r>
            <w:t xml:space="preserve"> </w:t>
          </w:r>
          <w:r w:rsidR="00070237">
            <w:t xml:space="preserve">       </w:t>
          </w:r>
          <w:r>
            <w:rPr>
              <w:noProof/>
              <w:lang w:val="fr-CH" w:eastAsia="fr-CH"/>
            </w:rPr>
            <w:drawing>
              <wp:inline distT="0" distB="0" distL="0" distR="0" wp14:anchorId="66E592B5" wp14:editId="103A1DD2">
                <wp:extent cx="1228725" cy="1107583"/>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0204"/>
                        <a:stretch/>
                      </pic:blipFill>
                      <pic:spPr bwMode="auto">
                        <a:xfrm>
                          <a:off x="0" y="0"/>
                          <a:ext cx="1246624" cy="11237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44" w:type="dxa"/>
        </w:tcPr>
        <w:p w:rsidR="007C60FB" w:rsidRPr="00CA5017" w:rsidRDefault="007C60FB" w:rsidP="001127AA">
          <w:pPr>
            <w:ind w:firstLine="708"/>
            <w:jc w:val="right"/>
          </w:pPr>
          <w:r>
            <w:rPr>
              <w:noProof/>
              <w:lang w:val="fr-CH" w:eastAsia="fr-CH"/>
            </w:rPr>
            <w:drawing>
              <wp:inline distT="0" distB="0" distL="0" distR="0" wp14:anchorId="2096C2A1" wp14:editId="52B55CF3">
                <wp:extent cx="1438910" cy="719455"/>
                <wp:effectExtent l="0" t="0" r="889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8910" cy="719455"/>
                        </a:xfrm>
                        <a:prstGeom prst="rect">
                          <a:avLst/>
                        </a:prstGeom>
                        <a:noFill/>
                      </pic:spPr>
                    </pic:pic>
                  </a:graphicData>
                </a:graphic>
              </wp:inline>
            </w:drawing>
          </w:r>
        </w:p>
      </w:tc>
    </w:tr>
  </w:tbl>
  <w:p w:rsidR="007C60FB" w:rsidRDefault="007C6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47E3"/>
    <w:multiLevelType w:val="multilevel"/>
    <w:tmpl w:val="405E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A3A3E"/>
    <w:multiLevelType w:val="hybridMultilevel"/>
    <w:tmpl w:val="7A14F67E"/>
    <w:lvl w:ilvl="0" w:tplc="5BC88316">
      <w:start w:val="11"/>
      <w:numFmt w:val="bullet"/>
      <w:lvlText w:val="-"/>
      <w:lvlJc w:val="left"/>
      <w:pPr>
        <w:ind w:left="720" w:hanging="360"/>
      </w:pPr>
      <w:rPr>
        <w:rFonts w:ascii="Calibri" w:eastAsia="Calibri" w:hAnsi="Calibri"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AA151F7"/>
    <w:multiLevelType w:val="hybridMultilevel"/>
    <w:tmpl w:val="6FE4DD8E"/>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 w15:restartNumberingAfterBreak="0">
    <w:nsid w:val="4EFA2277"/>
    <w:multiLevelType w:val="hybridMultilevel"/>
    <w:tmpl w:val="CF50B1D6"/>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69B37AA"/>
    <w:multiLevelType w:val="hybridMultilevel"/>
    <w:tmpl w:val="EC9A4F34"/>
    <w:lvl w:ilvl="0" w:tplc="785E4192">
      <w:start w:val="2019"/>
      <w:numFmt w:val="bullet"/>
      <w:lvlText w:val="-"/>
      <w:lvlJc w:val="left"/>
      <w:pPr>
        <w:ind w:left="720" w:hanging="360"/>
      </w:pPr>
      <w:rPr>
        <w:rFonts w:ascii="Calibri" w:eastAsia="Calibri" w:hAnsi="Calibri"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A77BEC"/>
    <w:multiLevelType w:val="hybridMultilevel"/>
    <w:tmpl w:val="B43267E6"/>
    <w:lvl w:ilvl="0" w:tplc="04090005">
      <w:start w:val="1"/>
      <w:numFmt w:val="bullet"/>
      <w:lvlText w:val=""/>
      <w:lvlJc w:val="left"/>
      <w:pPr>
        <w:ind w:left="1428" w:hanging="360"/>
      </w:pPr>
      <w:rPr>
        <w:rFonts w:ascii="Wingdings" w:hAnsi="Wingdings"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6" w15:restartNumberingAfterBreak="0">
    <w:nsid w:val="58A2168B"/>
    <w:multiLevelType w:val="hybridMultilevel"/>
    <w:tmpl w:val="C92E835E"/>
    <w:lvl w:ilvl="0" w:tplc="60D687C4">
      <w:start w:val="2019"/>
      <w:numFmt w:val="bullet"/>
      <w:lvlText w:val="-"/>
      <w:lvlJc w:val="left"/>
      <w:pPr>
        <w:ind w:left="720" w:hanging="360"/>
      </w:pPr>
      <w:rPr>
        <w:rFonts w:ascii="Calibri" w:eastAsia="Calibri" w:hAnsi="Calibri"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33001A3"/>
    <w:multiLevelType w:val="hybridMultilevel"/>
    <w:tmpl w:val="E5963B40"/>
    <w:lvl w:ilvl="0" w:tplc="100C0001">
      <w:start w:val="1"/>
      <w:numFmt w:val="bullet"/>
      <w:lvlText w:val=""/>
      <w:lvlJc w:val="left"/>
      <w:pPr>
        <w:ind w:left="1068" w:hanging="360"/>
      </w:pPr>
      <w:rPr>
        <w:rFonts w:ascii="Symbol" w:hAnsi="Symbol"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8" w15:restartNumberingAfterBreak="0">
    <w:nsid w:val="68BC45F8"/>
    <w:multiLevelType w:val="hybridMultilevel"/>
    <w:tmpl w:val="BE929A56"/>
    <w:lvl w:ilvl="0" w:tplc="100C0005">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5">
      <w:start w:val="1"/>
      <w:numFmt w:val="bullet"/>
      <w:lvlText w:val=""/>
      <w:lvlJc w:val="left"/>
      <w:pPr>
        <w:ind w:left="2880" w:hanging="360"/>
      </w:pPr>
      <w:rPr>
        <w:rFonts w:ascii="Wingdings" w:hAnsi="Wingdings"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B04451B"/>
    <w:multiLevelType w:val="hybridMultilevel"/>
    <w:tmpl w:val="A1A4AA86"/>
    <w:lvl w:ilvl="0" w:tplc="5BC88316">
      <w:start w:val="11"/>
      <w:numFmt w:val="bullet"/>
      <w:lvlText w:val="-"/>
      <w:lvlJc w:val="left"/>
      <w:pPr>
        <w:ind w:left="1428" w:hanging="360"/>
      </w:pPr>
      <w:rPr>
        <w:rFonts w:ascii="Calibri" w:eastAsia="Calibri" w:hAnsi="Calibri" w:cs="Aria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10" w15:restartNumberingAfterBreak="0">
    <w:nsid w:val="70C0427C"/>
    <w:multiLevelType w:val="hybridMultilevel"/>
    <w:tmpl w:val="BBCC0822"/>
    <w:lvl w:ilvl="0" w:tplc="6BC25816">
      <w:start w:val="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4C454AD"/>
    <w:multiLevelType w:val="hybridMultilevel"/>
    <w:tmpl w:val="5492F59A"/>
    <w:lvl w:ilvl="0" w:tplc="60D687C4">
      <w:start w:val="2019"/>
      <w:numFmt w:val="bullet"/>
      <w:lvlText w:val="-"/>
      <w:lvlJc w:val="left"/>
      <w:pPr>
        <w:ind w:left="2148" w:hanging="360"/>
      </w:pPr>
      <w:rPr>
        <w:rFonts w:ascii="Calibri" w:eastAsia="Calibri" w:hAnsi="Calibri" w:cs="Arial" w:hint="default"/>
      </w:rPr>
    </w:lvl>
    <w:lvl w:ilvl="1" w:tplc="100C0003" w:tentative="1">
      <w:start w:val="1"/>
      <w:numFmt w:val="bullet"/>
      <w:lvlText w:val="o"/>
      <w:lvlJc w:val="left"/>
      <w:pPr>
        <w:ind w:left="2868" w:hanging="360"/>
      </w:pPr>
      <w:rPr>
        <w:rFonts w:ascii="Courier New" w:hAnsi="Courier New" w:cs="Courier New" w:hint="default"/>
      </w:rPr>
    </w:lvl>
    <w:lvl w:ilvl="2" w:tplc="100C0005" w:tentative="1">
      <w:start w:val="1"/>
      <w:numFmt w:val="bullet"/>
      <w:lvlText w:val=""/>
      <w:lvlJc w:val="left"/>
      <w:pPr>
        <w:ind w:left="3588" w:hanging="360"/>
      </w:pPr>
      <w:rPr>
        <w:rFonts w:ascii="Wingdings" w:hAnsi="Wingdings" w:hint="default"/>
      </w:rPr>
    </w:lvl>
    <w:lvl w:ilvl="3" w:tplc="100C0001" w:tentative="1">
      <w:start w:val="1"/>
      <w:numFmt w:val="bullet"/>
      <w:lvlText w:val=""/>
      <w:lvlJc w:val="left"/>
      <w:pPr>
        <w:ind w:left="4308" w:hanging="360"/>
      </w:pPr>
      <w:rPr>
        <w:rFonts w:ascii="Symbol" w:hAnsi="Symbol" w:hint="default"/>
      </w:rPr>
    </w:lvl>
    <w:lvl w:ilvl="4" w:tplc="100C0003" w:tentative="1">
      <w:start w:val="1"/>
      <w:numFmt w:val="bullet"/>
      <w:lvlText w:val="o"/>
      <w:lvlJc w:val="left"/>
      <w:pPr>
        <w:ind w:left="5028" w:hanging="360"/>
      </w:pPr>
      <w:rPr>
        <w:rFonts w:ascii="Courier New" w:hAnsi="Courier New" w:cs="Courier New" w:hint="default"/>
      </w:rPr>
    </w:lvl>
    <w:lvl w:ilvl="5" w:tplc="100C0005" w:tentative="1">
      <w:start w:val="1"/>
      <w:numFmt w:val="bullet"/>
      <w:lvlText w:val=""/>
      <w:lvlJc w:val="left"/>
      <w:pPr>
        <w:ind w:left="5748" w:hanging="360"/>
      </w:pPr>
      <w:rPr>
        <w:rFonts w:ascii="Wingdings" w:hAnsi="Wingdings" w:hint="default"/>
      </w:rPr>
    </w:lvl>
    <w:lvl w:ilvl="6" w:tplc="100C0001" w:tentative="1">
      <w:start w:val="1"/>
      <w:numFmt w:val="bullet"/>
      <w:lvlText w:val=""/>
      <w:lvlJc w:val="left"/>
      <w:pPr>
        <w:ind w:left="6468" w:hanging="360"/>
      </w:pPr>
      <w:rPr>
        <w:rFonts w:ascii="Symbol" w:hAnsi="Symbol" w:hint="default"/>
      </w:rPr>
    </w:lvl>
    <w:lvl w:ilvl="7" w:tplc="100C0003" w:tentative="1">
      <w:start w:val="1"/>
      <w:numFmt w:val="bullet"/>
      <w:lvlText w:val="o"/>
      <w:lvlJc w:val="left"/>
      <w:pPr>
        <w:ind w:left="7188" w:hanging="360"/>
      </w:pPr>
      <w:rPr>
        <w:rFonts w:ascii="Courier New" w:hAnsi="Courier New" w:cs="Courier New" w:hint="default"/>
      </w:rPr>
    </w:lvl>
    <w:lvl w:ilvl="8" w:tplc="100C0005" w:tentative="1">
      <w:start w:val="1"/>
      <w:numFmt w:val="bullet"/>
      <w:lvlText w:val=""/>
      <w:lvlJc w:val="left"/>
      <w:pPr>
        <w:ind w:left="7908"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1"/>
  </w:num>
  <w:num w:numId="6">
    <w:abstractNumId w:val="9"/>
  </w:num>
  <w:num w:numId="7">
    <w:abstractNumId w:val="11"/>
  </w:num>
  <w:num w:numId="8">
    <w:abstractNumId w:val="1"/>
  </w:num>
  <w:num w:numId="9">
    <w:abstractNumId w:val="3"/>
  </w:num>
  <w:num w:numId="10">
    <w:abstractNumId w:val="10"/>
  </w:num>
  <w:num w:numId="11">
    <w:abstractNumId w:val="5"/>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2NDazMLYwMzY3MzBT0lEKTi0uzszPAykwNqwFAE7pm1ItAAAA"/>
  </w:docVars>
  <w:rsids>
    <w:rsidRoot w:val="003D6970"/>
    <w:rsid w:val="0000321A"/>
    <w:rsid w:val="00003F07"/>
    <w:rsid w:val="000044FD"/>
    <w:rsid w:val="0000553A"/>
    <w:rsid w:val="0000628F"/>
    <w:rsid w:val="0000641D"/>
    <w:rsid w:val="000143CA"/>
    <w:rsid w:val="00017756"/>
    <w:rsid w:val="00021CAF"/>
    <w:rsid w:val="00023B72"/>
    <w:rsid w:val="00024ECD"/>
    <w:rsid w:val="00030EA6"/>
    <w:rsid w:val="00032A62"/>
    <w:rsid w:val="00034312"/>
    <w:rsid w:val="000347C9"/>
    <w:rsid w:val="0003522A"/>
    <w:rsid w:val="000379EE"/>
    <w:rsid w:val="000432AB"/>
    <w:rsid w:val="0004618F"/>
    <w:rsid w:val="000466CB"/>
    <w:rsid w:val="00061042"/>
    <w:rsid w:val="0006566B"/>
    <w:rsid w:val="00070237"/>
    <w:rsid w:val="00071BBB"/>
    <w:rsid w:val="000731A9"/>
    <w:rsid w:val="00075464"/>
    <w:rsid w:val="0008013B"/>
    <w:rsid w:val="0008018D"/>
    <w:rsid w:val="00083D1B"/>
    <w:rsid w:val="00086B62"/>
    <w:rsid w:val="00091A99"/>
    <w:rsid w:val="000950F5"/>
    <w:rsid w:val="000A038E"/>
    <w:rsid w:val="000A187D"/>
    <w:rsid w:val="000A2762"/>
    <w:rsid w:val="000A5E89"/>
    <w:rsid w:val="000B2011"/>
    <w:rsid w:val="000B43AE"/>
    <w:rsid w:val="000B48F3"/>
    <w:rsid w:val="000B5CFF"/>
    <w:rsid w:val="000D107A"/>
    <w:rsid w:val="000D1CEE"/>
    <w:rsid w:val="000D30DC"/>
    <w:rsid w:val="000D3447"/>
    <w:rsid w:val="000D37B5"/>
    <w:rsid w:val="000E0371"/>
    <w:rsid w:val="000E0A3A"/>
    <w:rsid w:val="000E0C0B"/>
    <w:rsid w:val="000E47A8"/>
    <w:rsid w:val="000F4D55"/>
    <w:rsid w:val="001045F3"/>
    <w:rsid w:val="00104AB5"/>
    <w:rsid w:val="001100A4"/>
    <w:rsid w:val="001125FB"/>
    <w:rsid w:val="001164D6"/>
    <w:rsid w:val="001207DF"/>
    <w:rsid w:val="00123A82"/>
    <w:rsid w:val="00130F81"/>
    <w:rsid w:val="0013403C"/>
    <w:rsid w:val="001435F9"/>
    <w:rsid w:val="00156930"/>
    <w:rsid w:val="0017528C"/>
    <w:rsid w:val="001A168C"/>
    <w:rsid w:val="001A3653"/>
    <w:rsid w:val="001A3D47"/>
    <w:rsid w:val="001A5A05"/>
    <w:rsid w:val="001A687B"/>
    <w:rsid w:val="001B23A1"/>
    <w:rsid w:val="001C04CC"/>
    <w:rsid w:val="001C0B90"/>
    <w:rsid w:val="001C25F1"/>
    <w:rsid w:val="001C39C3"/>
    <w:rsid w:val="001D4FCF"/>
    <w:rsid w:val="001D5F45"/>
    <w:rsid w:val="001D7D2E"/>
    <w:rsid w:val="001E05E2"/>
    <w:rsid w:val="001E615C"/>
    <w:rsid w:val="001F5000"/>
    <w:rsid w:val="002006DC"/>
    <w:rsid w:val="00206CBE"/>
    <w:rsid w:val="00212266"/>
    <w:rsid w:val="00213485"/>
    <w:rsid w:val="00217582"/>
    <w:rsid w:val="00220FC0"/>
    <w:rsid w:val="002218B8"/>
    <w:rsid w:val="002256CE"/>
    <w:rsid w:val="00234776"/>
    <w:rsid w:val="002349B4"/>
    <w:rsid w:val="00237080"/>
    <w:rsid w:val="00240B8A"/>
    <w:rsid w:val="00241437"/>
    <w:rsid w:val="00242B83"/>
    <w:rsid w:val="00247D72"/>
    <w:rsid w:val="002516C5"/>
    <w:rsid w:val="00253247"/>
    <w:rsid w:val="0025370C"/>
    <w:rsid w:val="00261873"/>
    <w:rsid w:val="00264A9E"/>
    <w:rsid w:val="00270FE0"/>
    <w:rsid w:val="0027772F"/>
    <w:rsid w:val="00281D6B"/>
    <w:rsid w:val="002837F8"/>
    <w:rsid w:val="00290B87"/>
    <w:rsid w:val="00297634"/>
    <w:rsid w:val="0029785F"/>
    <w:rsid w:val="002A1681"/>
    <w:rsid w:val="002A2E82"/>
    <w:rsid w:val="002A522E"/>
    <w:rsid w:val="002B3A37"/>
    <w:rsid w:val="002B43F2"/>
    <w:rsid w:val="002B5795"/>
    <w:rsid w:val="002C035B"/>
    <w:rsid w:val="002C1CE0"/>
    <w:rsid w:val="002D018C"/>
    <w:rsid w:val="002D0B4D"/>
    <w:rsid w:val="002D1999"/>
    <w:rsid w:val="002D23D4"/>
    <w:rsid w:val="002D2651"/>
    <w:rsid w:val="002D7E32"/>
    <w:rsid w:val="002E3DCA"/>
    <w:rsid w:val="002E559D"/>
    <w:rsid w:val="002F3FD1"/>
    <w:rsid w:val="002F6C09"/>
    <w:rsid w:val="0030083D"/>
    <w:rsid w:val="003101C3"/>
    <w:rsid w:val="00310F13"/>
    <w:rsid w:val="00311830"/>
    <w:rsid w:val="00311D25"/>
    <w:rsid w:val="00312A91"/>
    <w:rsid w:val="003237A8"/>
    <w:rsid w:val="00335AF6"/>
    <w:rsid w:val="003368E8"/>
    <w:rsid w:val="00340850"/>
    <w:rsid w:val="00341DB3"/>
    <w:rsid w:val="00342DFC"/>
    <w:rsid w:val="00343CEA"/>
    <w:rsid w:val="00355F66"/>
    <w:rsid w:val="00364263"/>
    <w:rsid w:val="0036789B"/>
    <w:rsid w:val="00372359"/>
    <w:rsid w:val="0037340C"/>
    <w:rsid w:val="003842EA"/>
    <w:rsid w:val="003870EA"/>
    <w:rsid w:val="00394E9A"/>
    <w:rsid w:val="00395272"/>
    <w:rsid w:val="00396D6D"/>
    <w:rsid w:val="003A6442"/>
    <w:rsid w:val="003A674E"/>
    <w:rsid w:val="003B4241"/>
    <w:rsid w:val="003C3A5E"/>
    <w:rsid w:val="003C77E0"/>
    <w:rsid w:val="003D2128"/>
    <w:rsid w:val="003D33B6"/>
    <w:rsid w:val="003D4156"/>
    <w:rsid w:val="003D5684"/>
    <w:rsid w:val="003D65D5"/>
    <w:rsid w:val="003D6686"/>
    <w:rsid w:val="003D6970"/>
    <w:rsid w:val="003D748A"/>
    <w:rsid w:val="003D7FC2"/>
    <w:rsid w:val="003E506C"/>
    <w:rsid w:val="003F0A54"/>
    <w:rsid w:val="003F1871"/>
    <w:rsid w:val="003F309D"/>
    <w:rsid w:val="003F7B2C"/>
    <w:rsid w:val="004010D3"/>
    <w:rsid w:val="00401B82"/>
    <w:rsid w:val="00407111"/>
    <w:rsid w:val="0041292F"/>
    <w:rsid w:val="00412E7E"/>
    <w:rsid w:val="004145B4"/>
    <w:rsid w:val="00423490"/>
    <w:rsid w:val="0042470E"/>
    <w:rsid w:val="00427AEE"/>
    <w:rsid w:val="00432EA4"/>
    <w:rsid w:val="00434FDA"/>
    <w:rsid w:val="00442FE5"/>
    <w:rsid w:val="0044387B"/>
    <w:rsid w:val="00452BDD"/>
    <w:rsid w:val="00454C24"/>
    <w:rsid w:val="00464BB3"/>
    <w:rsid w:val="00465284"/>
    <w:rsid w:val="00470680"/>
    <w:rsid w:val="00482D26"/>
    <w:rsid w:val="00490452"/>
    <w:rsid w:val="00492CC6"/>
    <w:rsid w:val="004962B8"/>
    <w:rsid w:val="004A5F8E"/>
    <w:rsid w:val="004B713F"/>
    <w:rsid w:val="004C535F"/>
    <w:rsid w:val="004C780A"/>
    <w:rsid w:val="004D62B7"/>
    <w:rsid w:val="004E1CA5"/>
    <w:rsid w:val="004E7378"/>
    <w:rsid w:val="004F0A79"/>
    <w:rsid w:val="004F36EB"/>
    <w:rsid w:val="004F3A9C"/>
    <w:rsid w:val="004F667C"/>
    <w:rsid w:val="00503F5D"/>
    <w:rsid w:val="00506803"/>
    <w:rsid w:val="00507CE4"/>
    <w:rsid w:val="00511230"/>
    <w:rsid w:val="005113E8"/>
    <w:rsid w:val="005236AC"/>
    <w:rsid w:val="00527822"/>
    <w:rsid w:val="00530CB0"/>
    <w:rsid w:val="005410FF"/>
    <w:rsid w:val="0054140E"/>
    <w:rsid w:val="005423D8"/>
    <w:rsid w:val="00544111"/>
    <w:rsid w:val="005539C8"/>
    <w:rsid w:val="005606C0"/>
    <w:rsid w:val="00566FE9"/>
    <w:rsid w:val="00570021"/>
    <w:rsid w:val="00570506"/>
    <w:rsid w:val="00575404"/>
    <w:rsid w:val="00576028"/>
    <w:rsid w:val="00585A57"/>
    <w:rsid w:val="00590922"/>
    <w:rsid w:val="005A1D8B"/>
    <w:rsid w:val="005A4DF9"/>
    <w:rsid w:val="005A7F43"/>
    <w:rsid w:val="005B109D"/>
    <w:rsid w:val="005B2DB8"/>
    <w:rsid w:val="005B2E32"/>
    <w:rsid w:val="005B5921"/>
    <w:rsid w:val="005B7090"/>
    <w:rsid w:val="005C1430"/>
    <w:rsid w:val="005C143D"/>
    <w:rsid w:val="005C2B16"/>
    <w:rsid w:val="005C2B92"/>
    <w:rsid w:val="005C361A"/>
    <w:rsid w:val="005C51E9"/>
    <w:rsid w:val="005C5D0D"/>
    <w:rsid w:val="005D0820"/>
    <w:rsid w:val="005D1CA7"/>
    <w:rsid w:val="005D50DB"/>
    <w:rsid w:val="005D537B"/>
    <w:rsid w:val="005D7D60"/>
    <w:rsid w:val="005E2911"/>
    <w:rsid w:val="005E3B89"/>
    <w:rsid w:val="005E6412"/>
    <w:rsid w:val="005E6B89"/>
    <w:rsid w:val="005F1DC9"/>
    <w:rsid w:val="006033A6"/>
    <w:rsid w:val="00612408"/>
    <w:rsid w:val="0061584A"/>
    <w:rsid w:val="0062519C"/>
    <w:rsid w:val="006256FF"/>
    <w:rsid w:val="00630C8E"/>
    <w:rsid w:val="00632F02"/>
    <w:rsid w:val="00636BC7"/>
    <w:rsid w:val="00636C5F"/>
    <w:rsid w:val="0063763F"/>
    <w:rsid w:val="0064456D"/>
    <w:rsid w:val="006446A9"/>
    <w:rsid w:val="00644826"/>
    <w:rsid w:val="00646D04"/>
    <w:rsid w:val="00647D4F"/>
    <w:rsid w:val="00650D53"/>
    <w:rsid w:val="00651715"/>
    <w:rsid w:val="006526DA"/>
    <w:rsid w:val="006527A0"/>
    <w:rsid w:val="00652827"/>
    <w:rsid w:val="00653F80"/>
    <w:rsid w:val="00665D41"/>
    <w:rsid w:val="00677E43"/>
    <w:rsid w:val="00681B5D"/>
    <w:rsid w:val="0068254A"/>
    <w:rsid w:val="00694178"/>
    <w:rsid w:val="006A6D1C"/>
    <w:rsid w:val="006B142F"/>
    <w:rsid w:val="006B661A"/>
    <w:rsid w:val="006B66CD"/>
    <w:rsid w:val="006C52F1"/>
    <w:rsid w:val="006D061E"/>
    <w:rsid w:val="006D06B8"/>
    <w:rsid w:val="006D36A5"/>
    <w:rsid w:val="006D4D8A"/>
    <w:rsid w:val="006D7B73"/>
    <w:rsid w:val="006E214C"/>
    <w:rsid w:val="006E3C38"/>
    <w:rsid w:val="006E6EBB"/>
    <w:rsid w:val="006F3C05"/>
    <w:rsid w:val="00700344"/>
    <w:rsid w:val="007006BB"/>
    <w:rsid w:val="00704560"/>
    <w:rsid w:val="00705086"/>
    <w:rsid w:val="0070518E"/>
    <w:rsid w:val="00706BA8"/>
    <w:rsid w:val="00711CCA"/>
    <w:rsid w:val="00716450"/>
    <w:rsid w:val="00716DB0"/>
    <w:rsid w:val="00717FCD"/>
    <w:rsid w:val="007216A6"/>
    <w:rsid w:val="0072695D"/>
    <w:rsid w:val="00743BED"/>
    <w:rsid w:val="00750304"/>
    <w:rsid w:val="007561CD"/>
    <w:rsid w:val="007633F8"/>
    <w:rsid w:val="0076592B"/>
    <w:rsid w:val="00766049"/>
    <w:rsid w:val="00774DD6"/>
    <w:rsid w:val="00777B7E"/>
    <w:rsid w:val="00781EA6"/>
    <w:rsid w:val="007826C0"/>
    <w:rsid w:val="00785FB9"/>
    <w:rsid w:val="0079156A"/>
    <w:rsid w:val="00793D3E"/>
    <w:rsid w:val="007A0047"/>
    <w:rsid w:val="007A258F"/>
    <w:rsid w:val="007C1DF6"/>
    <w:rsid w:val="007C2DD9"/>
    <w:rsid w:val="007C44A3"/>
    <w:rsid w:val="007C564A"/>
    <w:rsid w:val="007C60FB"/>
    <w:rsid w:val="007C6978"/>
    <w:rsid w:val="007C7EEC"/>
    <w:rsid w:val="007D5CFE"/>
    <w:rsid w:val="007E24BB"/>
    <w:rsid w:val="007E36F8"/>
    <w:rsid w:val="007E3AC8"/>
    <w:rsid w:val="007E3DC3"/>
    <w:rsid w:val="007F1739"/>
    <w:rsid w:val="007F1946"/>
    <w:rsid w:val="007F46E1"/>
    <w:rsid w:val="007F48BE"/>
    <w:rsid w:val="00807173"/>
    <w:rsid w:val="00814438"/>
    <w:rsid w:val="00814592"/>
    <w:rsid w:val="00815F92"/>
    <w:rsid w:val="0082434E"/>
    <w:rsid w:val="00826793"/>
    <w:rsid w:val="0085076B"/>
    <w:rsid w:val="0085634F"/>
    <w:rsid w:val="008573F9"/>
    <w:rsid w:val="00863A73"/>
    <w:rsid w:val="00863E1D"/>
    <w:rsid w:val="008676FE"/>
    <w:rsid w:val="008770CA"/>
    <w:rsid w:val="0088457C"/>
    <w:rsid w:val="00887323"/>
    <w:rsid w:val="00893A8C"/>
    <w:rsid w:val="00895679"/>
    <w:rsid w:val="008972EA"/>
    <w:rsid w:val="008A5F48"/>
    <w:rsid w:val="008B0ECD"/>
    <w:rsid w:val="008B6871"/>
    <w:rsid w:val="008B6B3A"/>
    <w:rsid w:val="008C6AF3"/>
    <w:rsid w:val="008D6A42"/>
    <w:rsid w:val="008E3522"/>
    <w:rsid w:val="008E5FE4"/>
    <w:rsid w:val="008F3EE8"/>
    <w:rsid w:val="009022EA"/>
    <w:rsid w:val="009104DD"/>
    <w:rsid w:val="009121AB"/>
    <w:rsid w:val="009128F6"/>
    <w:rsid w:val="009136C0"/>
    <w:rsid w:val="009206B0"/>
    <w:rsid w:val="00920B8A"/>
    <w:rsid w:val="00922F68"/>
    <w:rsid w:val="00930ED1"/>
    <w:rsid w:val="00934E80"/>
    <w:rsid w:val="00942DD1"/>
    <w:rsid w:val="00952506"/>
    <w:rsid w:val="009528FE"/>
    <w:rsid w:val="009548F3"/>
    <w:rsid w:val="00957469"/>
    <w:rsid w:val="00962E71"/>
    <w:rsid w:val="009640BA"/>
    <w:rsid w:val="0096657C"/>
    <w:rsid w:val="00967552"/>
    <w:rsid w:val="00970D8E"/>
    <w:rsid w:val="009716F6"/>
    <w:rsid w:val="00976CBF"/>
    <w:rsid w:val="00984A1D"/>
    <w:rsid w:val="009862CB"/>
    <w:rsid w:val="00991D8E"/>
    <w:rsid w:val="0099277E"/>
    <w:rsid w:val="009A0B9F"/>
    <w:rsid w:val="009A29F5"/>
    <w:rsid w:val="009B0138"/>
    <w:rsid w:val="009B215F"/>
    <w:rsid w:val="009C6586"/>
    <w:rsid w:val="009D1A5E"/>
    <w:rsid w:val="009D337B"/>
    <w:rsid w:val="009D3BF3"/>
    <w:rsid w:val="009E1CE1"/>
    <w:rsid w:val="009E2AED"/>
    <w:rsid w:val="009E41B1"/>
    <w:rsid w:val="009E72A9"/>
    <w:rsid w:val="009F1979"/>
    <w:rsid w:val="009F4631"/>
    <w:rsid w:val="009F5125"/>
    <w:rsid w:val="009F6E8A"/>
    <w:rsid w:val="00A00340"/>
    <w:rsid w:val="00A03CDB"/>
    <w:rsid w:val="00A10AD2"/>
    <w:rsid w:val="00A2483D"/>
    <w:rsid w:val="00A277A5"/>
    <w:rsid w:val="00A277D7"/>
    <w:rsid w:val="00A3522D"/>
    <w:rsid w:val="00A522F5"/>
    <w:rsid w:val="00A60DE6"/>
    <w:rsid w:val="00A7248B"/>
    <w:rsid w:val="00A86D06"/>
    <w:rsid w:val="00A9057E"/>
    <w:rsid w:val="00A9381A"/>
    <w:rsid w:val="00A93BF8"/>
    <w:rsid w:val="00A96B13"/>
    <w:rsid w:val="00AA4724"/>
    <w:rsid w:val="00AA4F1C"/>
    <w:rsid w:val="00AB2AD9"/>
    <w:rsid w:val="00AB33A9"/>
    <w:rsid w:val="00AB3A46"/>
    <w:rsid w:val="00AC1202"/>
    <w:rsid w:val="00AC41A3"/>
    <w:rsid w:val="00AD193E"/>
    <w:rsid w:val="00AD1DD3"/>
    <w:rsid w:val="00AD31A6"/>
    <w:rsid w:val="00AD4EDF"/>
    <w:rsid w:val="00AD5F97"/>
    <w:rsid w:val="00AD79E9"/>
    <w:rsid w:val="00AE358D"/>
    <w:rsid w:val="00AE38AA"/>
    <w:rsid w:val="00AE47CC"/>
    <w:rsid w:val="00AF6F19"/>
    <w:rsid w:val="00B13796"/>
    <w:rsid w:val="00B13A6C"/>
    <w:rsid w:val="00B14637"/>
    <w:rsid w:val="00B20EB8"/>
    <w:rsid w:val="00B23914"/>
    <w:rsid w:val="00B30C77"/>
    <w:rsid w:val="00B3147D"/>
    <w:rsid w:val="00B35986"/>
    <w:rsid w:val="00B40239"/>
    <w:rsid w:val="00B5570C"/>
    <w:rsid w:val="00B6336C"/>
    <w:rsid w:val="00B7044B"/>
    <w:rsid w:val="00B7226A"/>
    <w:rsid w:val="00B740D3"/>
    <w:rsid w:val="00B75ABC"/>
    <w:rsid w:val="00B76B17"/>
    <w:rsid w:val="00B967F4"/>
    <w:rsid w:val="00B977D8"/>
    <w:rsid w:val="00BA2810"/>
    <w:rsid w:val="00BA2FB7"/>
    <w:rsid w:val="00BA4D57"/>
    <w:rsid w:val="00BA6841"/>
    <w:rsid w:val="00BA6A49"/>
    <w:rsid w:val="00BB0421"/>
    <w:rsid w:val="00BB0FA0"/>
    <w:rsid w:val="00BB1503"/>
    <w:rsid w:val="00BB7B07"/>
    <w:rsid w:val="00BC2A38"/>
    <w:rsid w:val="00BC7D5D"/>
    <w:rsid w:val="00BD1E18"/>
    <w:rsid w:val="00BE0B84"/>
    <w:rsid w:val="00BE20E4"/>
    <w:rsid w:val="00BE3036"/>
    <w:rsid w:val="00BE4FB4"/>
    <w:rsid w:val="00BF0A0D"/>
    <w:rsid w:val="00BF1494"/>
    <w:rsid w:val="00BF1D43"/>
    <w:rsid w:val="00BF5DD1"/>
    <w:rsid w:val="00BF5DFF"/>
    <w:rsid w:val="00C10823"/>
    <w:rsid w:val="00C1250C"/>
    <w:rsid w:val="00C15B17"/>
    <w:rsid w:val="00C16877"/>
    <w:rsid w:val="00C16E4F"/>
    <w:rsid w:val="00C17217"/>
    <w:rsid w:val="00C26011"/>
    <w:rsid w:val="00C26DC5"/>
    <w:rsid w:val="00C31822"/>
    <w:rsid w:val="00C341D4"/>
    <w:rsid w:val="00C41983"/>
    <w:rsid w:val="00C46D0E"/>
    <w:rsid w:val="00C5076E"/>
    <w:rsid w:val="00C5317C"/>
    <w:rsid w:val="00C56D8A"/>
    <w:rsid w:val="00C62350"/>
    <w:rsid w:val="00C653AE"/>
    <w:rsid w:val="00C67B08"/>
    <w:rsid w:val="00C80CC9"/>
    <w:rsid w:val="00C95B15"/>
    <w:rsid w:val="00C96B50"/>
    <w:rsid w:val="00CA1FDC"/>
    <w:rsid w:val="00CA5017"/>
    <w:rsid w:val="00CC679E"/>
    <w:rsid w:val="00CD0AC4"/>
    <w:rsid w:val="00CD17EF"/>
    <w:rsid w:val="00CD45F1"/>
    <w:rsid w:val="00CD6DBA"/>
    <w:rsid w:val="00CE1B75"/>
    <w:rsid w:val="00CE2F21"/>
    <w:rsid w:val="00CE5727"/>
    <w:rsid w:val="00CF1CD6"/>
    <w:rsid w:val="00CF30A1"/>
    <w:rsid w:val="00CF392E"/>
    <w:rsid w:val="00CF479B"/>
    <w:rsid w:val="00D01324"/>
    <w:rsid w:val="00D01659"/>
    <w:rsid w:val="00D03B01"/>
    <w:rsid w:val="00D06095"/>
    <w:rsid w:val="00D11B01"/>
    <w:rsid w:val="00D146A1"/>
    <w:rsid w:val="00D25F35"/>
    <w:rsid w:val="00D26B10"/>
    <w:rsid w:val="00D312C9"/>
    <w:rsid w:val="00D3145B"/>
    <w:rsid w:val="00D326A4"/>
    <w:rsid w:val="00D43BB6"/>
    <w:rsid w:val="00D5004D"/>
    <w:rsid w:val="00D509EC"/>
    <w:rsid w:val="00D60965"/>
    <w:rsid w:val="00D61F82"/>
    <w:rsid w:val="00D63B6D"/>
    <w:rsid w:val="00D70ED7"/>
    <w:rsid w:val="00D71AD2"/>
    <w:rsid w:val="00D829B1"/>
    <w:rsid w:val="00D900F6"/>
    <w:rsid w:val="00D90255"/>
    <w:rsid w:val="00D940B2"/>
    <w:rsid w:val="00DA13A5"/>
    <w:rsid w:val="00DA2998"/>
    <w:rsid w:val="00DA2AD6"/>
    <w:rsid w:val="00DB3BDE"/>
    <w:rsid w:val="00DC48E2"/>
    <w:rsid w:val="00DC603C"/>
    <w:rsid w:val="00DC7B89"/>
    <w:rsid w:val="00DD1AFB"/>
    <w:rsid w:val="00DD732F"/>
    <w:rsid w:val="00DF428C"/>
    <w:rsid w:val="00DF7A8A"/>
    <w:rsid w:val="00E02222"/>
    <w:rsid w:val="00E05194"/>
    <w:rsid w:val="00E10E35"/>
    <w:rsid w:val="00E11E4A"/>
    <w:rsid w:val="00E1429A"/>
    <w:rsid w:val="00E27175"/>
    <w:rsid w:val="00E31213"/>
    <w:rsid w:val="00E45F68"/>
    <w:rsid w:val="00E529B5"/>
    <w:rsid w:val="00E56854"/>
    <w:rsid w:val="00E623FF"/>
    <w:rsid w:val="00E626C5"/>
    <w:rsid w:val="00E6522F"/>
    <w:rsid w:val="00E6584D"/>
    <w:rsid w:val="00E674DD"/>
    <w:rsid w:val="00E676C0"/>
    <w:rsid w:val="00E74F7A"/>
    <w:rsid w:val="00E777C7"/>
    <w:rsid w:val="00E85DB6"/>
    <w:rsid w:val="00E92344"/>
    <w:rsid w:val="00E92B86"/>
    <w:rsid w:val="00E93085"/>
    <w:rsid w:val="00E940DA"/>
    <w:rsid w:val="00E97E8C"/>
    <w:rsid w:val="00EA48AF"/>
    <w:rsid w:val="00EA494B"/>
    <w:rsid w:val="00EB23D5"/>
    <w:rsid w:val="00EB7AB1"/>
    <w:rsid w:val="00EC346F"/>
    <w:rsid w:val="00EC38B3"/>
    <w:rsid w:val="00EC7353"/>
    <w:rsid w:val="00ED1E2C"/>
    <w:rsid w:val="00EE0DAB"/>
    <w:rsid w:val="00EE2CD8"/>
    <w:rsid w:val="00F0079C"/>
    <w:rsid w:val="00F12E21"/>
    <w:rsid w:val="00F15295"/>
    <w:rsid w:val="00F15432"/>
    <w:rsid w:val="00F15FFB"/>
    <w:rsid w:val="00F30AFA"/>
    <w:rsid w:val="00F31EA4"/>
    <w:rsid w:val="00F336C8"/>
    <w:rsid w:val="00F373AE"/>
    <w:rsid w:val="00F42E9F"/>
    <w:rsid w:val="00F46B94"/>
    <w:rsid w:val="00F46EFB"/>
    <w:rsid w:val="00F53C1F"/>
    <w:rsid w:val="00F612FC"/>
    <w:rsid w:val="00F615DE"/>
    <w:rsid w:val="00F62044"/>
    <w:rsid w:val="00F73078"/>
    <w:rsid w:val="00F76C49"/>
    <w:rsid w:val="00F8379C"/>
    <w:rsid w:val="00F84E35"/>
    <w:rsid w:val="00F867D7"/>
    <w:rsid w:val="00F9646E"/>
    <w:rsid w:val="00F9769D"/>
    <w:rsid w:val="00FA2C5C"/>
    <w:rsid w:val="00FB1D26"/>
    <w:rsid w:val="00FB2F8A"/>
    <w:rsid w:val="00FC1C27"/>
    <w:rsid w:val="00FC33EE"/>
    <w:rsid w:val="00FC37F4"/>
    <w:rsid w:val="00FC479E"/>
    <w:rsid w:val="00FD7C35"/>
    <w:rsid w:val="00FF0EE1"/>
    <w:rsid w:val="00FF344F"/>
    <w:rsid w:val="00FF4C3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C9517C"/>
  <w15:docId w15:val="{38E26D6A-93A5-49CF-A6E3-6DC86ABF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970"/>
    <w:rPr>
      <w:rFonts w:ascii="Calibri" w:eastAsia="Calibri" w:hAnsi="Calibri" w:cs="Arial"/>
      <w:lang w:val="en-GB"/>
    </w:rPr>
  </w:style>
  <w:style w:type="paragraph" w:styleId="Heading1">
    <w:name w:val="heading 1"/>
    <w:basedOn w:val="Normal"/>
    <w:link w:val="Heading1Char"/>
    <w:uiPriority w:val="9"/>
    <w:qFormat/>
    <w:rsid w:val="0036789B"/>
    <w:pPr>
      <w:spacing w:before="100" w:beforeAutospacing="1" w:after="100" w:afterAutospacing="1" w:line="240" w:lineRule="auto"/>
      <w:outlineLvl w:val="0"/>
    </w:pPr>
    <w:rPr>
      <w:rFonts w:ascii="Times New Roman" w:eastAsia="Times New Roman" w:hAnsi="Times New Roman" w:cs="Times New Roman"/>
      <w:b/>
      <w:bCs/>
      <w:kern w:val="36"/>
      <w:sz w:val="48"/>
      <w:szCs w:val="48"/>
      <w:lang w:val="fr-CH" w:eastAsia="fr-CH"/>
    </w:rPr>
  </w:style>
  <w:style w:type="paragraph" w:styleId="Heading2">
    <w:name w:val="heading 2"/>
    <w:basedOn w:val="Normal"/>
    <w:next w:val="Normal"/>
    <w:link w:val="Heading2Char"/>
    <w:uiPriority w:val="9"/>
    <w:semiHidden/>
    <w:unhideWhenUsed/>
    <w:qFormat/>
    <w:rsid w:val="00D314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702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0D3"/>
    <w:pPr>
      <w:ind w:left="720"/>
      <w:contextualSpacing/>
    </w:pPr>
  </w:style>
  <w:style w:type="paragraph" w:styleId="BalloonText">
    <w:name w:val="Balloon Text"/>
    <w:basedOn w:val="Normal"/>
    <w:link w:val="BalloonTextChar"/>
    <w:uiPriority w:val="99"/>
    <w:semiHidden/>
    <w:unhideWhenUsed/>
    <w:rsid w:val="00934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E80"/>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36789B"/>
    <w:rPr>
      <w:rFonts w:ascii="Times New Roman" w:eastAsia="Times New Roman" w:hAnsi="Times New Roman" w:cs="Times New Roman"/>
      <w:b/>
      <w:bCs/>
      <w:kern w:val="36"/>
      <w:sz w:val="48"/>
      <w:szCs w:val="48"/>
      <w:lang w:eastAsia="fr-CH"/>
    </w:rPr>
  </w:style>
  <w:style w:type="paragraph" w:styleId="Header">
    <w:name w:val="header"/>
    <w:basedOn w:val="Normal"/>
    <w:link w:val="HeaderChar"/>
    <w:uiPriority w:val="99"/>
    <w:unhideWhenUsed/>
    <w:rsid w:val="008C6A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6AF3"/>
    <w:rPr>
      <w:rFonts w:ascii="Calibri" w:eastAsia="Calibri" w:hAnsi="Calibri" w:cs="Arial"/>
      <w:lang w:val="en-GB"/>
    </w:rPr>
  </w:style>
  <w:style w:type="paragraph" w:styleId="Footer">
    <w:name w:val="footer"/>
    <w:basedOn w:val="Normal"/>
    <w:link w:val="FooterChar"/>
    <w:uiPriority w:val="99"/>
    <w:unhideWhenUsed/>
    <w:rsid w:val="008C6A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6AF3"/>
    <w:rPr>
      <w:rFonts w:ascii="Calibri" w:eastAsia="Calibri" w:hAnsi="Calibri" w:cs="Arial"/>
      <w:lang w:val="en-GB"/>
    </w:rPr>
  </w:style>
  <w:style w:type="character" w:styleId="Emphasis">
    <w:name w:val="Emphasis"/>
    <w:basedOn w:val="DefaultParagraphFont"/>
    <w:uiPriority w:val="20"/>
    <w:qFormat/>
    <w:rsid w:val="00470680"/>
    <w:rPr>
      <w:i/>
      <w:iCs/>
    </w:rPr>
  </w:style>
  <w:style w:type="character" w:styleId="Strong">
    <w:name w:val="Strong"/>
    <w:basedOn w:val="DefaultParagraphFont"/>
    <w:uiPriority w:val="22"/>
    <w:qFormat/>
    <w:rsid w:val="001C25F1"/>
    <w:rPr>
      <w:b/>
      <w:bCs/>
    </w:rPr>
  </w:style>
  <w:style w:type="character" w:styleId="CommentReference">
    <w:name w:val="annotation reference"/>
    <w:basedOn w:val="DefaultParagraphFont"/>
    <w:uiPriority w:val="99"/>
    <w:semiHidden/>
    <w:unhideWhenUsed/>
    <w:rsid w:val="0004618F"/>
    <w:rPr>
      <w:sz w:val="16"/>
      <w:szCs w:val="16"/>
    </w:rPr>
  </w:style>
  <w:style w:type="paragraph" w:styleId="CommentText">
    <w:name w:val="annotation text"/>
    <w:basedOn w:val="Normal"/>
    <w:link w:val="CommentTextChar"/>
    <w:uiPriority w:val="99"/>
    <w:unhideWhenUsed/>
    <w:rsid w:val="0004618F"/>
    <w:pPr>
      <w:spacing w:line="240" w:lineRule="auto"/>
    </w:pPr>
    <w:rPr>
      <w:sz w:val="20"/>
      <w:szCs w:val="20"/>
    </w:rPr>
  </w:style>
  <w:style w:type="character" w:customStyle="1" w:styleId="CommentTextChar">
    <w:name w:val="Comment Text Char"/>
    <w:basedOn w:val="DefaultParagraphFont"/>
    <w:link w:val="CommentText"/>
    <w:uiPriority w:val="99"/>
    <w:rsid w:val="0004618F"/>
    <w:rPr>
      <w:rFonts w:ascii="Calibri" w:eastAsia="Calibri" w:hAnsi="Calibri" w:cs="Arial"/>
      <w:sz w:val="20"/>
      <w:szCs w:val="20"/>
      <w:lang w:val="en-GB"/>
    </w:rPr>
  </w:style>
  <w:style w:type="paragraph" w:styleId="CommentSubject">
    <w:name w:val="annotation subject"/>
    <w:basedOn w:val="CommentText"/>
    <w:next w:val="CommentText"/>
    <w:link w:val="CommentSubjectChar"/>
    <w:uiPriority w:val="99"/>
    <w:semiHidden/>
    <w:unhideWhenUsed/>
    <w:rsid w:val="0004618F"/>
    <w:rPr>
      <w:b/>
      <w:bCs/>
    </w:rPr>
  </w:style>
  <w:style w:type="character" w:customStyle="1" w:styleId="CommentSubjectChar">
    <w:name w:val="Comment Subject Char"/>
    <w:basedOn w:val="CommentTextChar"/>
    <w:link w:val="CommentSubject"/>
    <w:uiPriority w:val="99"/>
    <w:semiHidden/>
    <w:rsid w:val="0004618F"/>
    <w:rPr>
      <w:rFonts w:ascii="Calibri" w:eastAsia="Calibri" w:hAnsi="Calibri" w:cs="Arial"/>
      <w:b/>
      <w:bCs/>
      <w:sz w:val="20"/>
      <w:szCs w:val="20"/>
      <w:lang w:val="en-GB"/>
    </w:rPr>
  </w:style>
  <w:style w:type="character" w:customStyle="1" w:styleId="Heading2Char">
    <w:name w:val="Heading 2 Char"/>
    <w:basedOn w:val="DefaultParagraphFont"/>
    <w:link w:val="Heading2"/>
    <w:uiPriority w:val="9"/>
    <w:semiHidden/>
    <w:rsid w:val="00D3145B"/>
    <w:rPr>
      <w:rFonts w:asciiTheme="majorHAnsi" w:eastAsiaTheme="majorEastAsia" w:hAnsiTheme="majorHAnsi" w:cstheme="majorBidi"/>
      <w:color w:val="365F91" w:themeColor="accent1" w:themeShade="BF"/>
      <w:sz w:val="26"/>
      <w:szCs w:val="26"/>
      <w:lang w:val="en-GB"/>
    </w:rPr>
  </w:style>
  <w:style w:type="paragraph" w:styleId="BodyText3">
    <w:name w:val="Body Text 3"/>
    <w:basedOn w:val="Normal"/>
    <w:link w:val="BodyText3Char"/>
    <w:rsid w:val="009E1CE1"/>
    <w:pPr>
      <w:spacing w:after="0" w:line="240" w:lineRule="auto"/>
      <w:jc w:val="both"/>
    </w:pPr>
    <w:rPr>
      <w:rFonts w:ascii="Times New Roman" w:eastAsia="Times New Roman" w:hAnsi="Times New Roman" w:cs="Times New Roman"/>
      <w:sz w:val="24"/>
      <w:szCs w:val="24"/>
      <w:lang w:val="en-AU"/>
    </w:rPr>
  </w:style>
  <w:style w:type="character" w:customStyle="1" w:styleId="BodyText3Char">
    <w:name w:val="Body Text 3 Char"/>
    <w:basedOn w:val="DefaultParagraphFont"/>
    <w:link w:val="BodyText3"/>
    <w:rsid w:val="009E1CE1"/>
    <w:rPr>
      <w:rFonts w:ascii="Times New Roman" w:eastAsia="Times New Roman" w:hAnsi="Times New Roman" w:cs="Times New Roman"/>
      <w:sz w:val="24"/>
      <w:szCs w:val="24"/>
      <w:lang w:val="en-AU"/>
    </w:rPr>
  </w:style>
  <w:style w:type="paragraph" w:styleId="FootnoteText">
    <w:name w:val="footnote text"/>
    <w:basedOn w:val="Normal"/>
    <w:link w:val="FootnoteTextChar"/>
    <w:uiPriority w:val="99"/>
    <w:semiHidden/>
    <w:unhideWhenUsed/>
    <w:rsid w:val="003C3A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A5E"/>
    <w:rPr>
      <w:rFonts w:ascii="Calibri" w:eastAsia="Calibri" w:hAnsi="Calibri" w:cs="Arial"/>
      <w:sz w:val="20"/>
      <w:szCs w:val="20"/>
      <w:lang w:val="en-GB"/>
    </w:rPr>
  </w:style>
  <w:style w:type="character" w:styleId="FootnoteReference">
    <w:name w:val="footnote reference"/>
    <w:basedOn w:val="DefaultParagraphFont"/>
    <w:uiPriority w:val="99"/>
    <w:semiHidden/>
    <w:unhideWhenUsed/>
    <w:rsid w:val="003C3A5E"/>
    <w:rPr>
      <w:vertAlign w:val="superscript"/>
    </w:rPr>
  </w:style>
  <w:style w:type="character" w:styleId="Hyperlink">
    <w:name w:val="Hyperlink"/>
    <w:basedOn w:val="DefaultParagraphFont"/>
    <w:uiPriority w:val="99"/>
    <w:unhideWhenUsed/>
    <w:rsid w:val="00781EA6"/>
    <w:rPr>
      <w:color w:val="0000FF" w:themeColor="hyperlink"/>
      <w:u w:val="single"/>
    </w:rPr>
  </w:style>
  <w:style w:type="character" w:customStyle="1" w:styleId="UnresolvedMention1">
    <w:name w:val="Unresolved Mention1"/>
    <w:basedOn w:val="DefaultParagraphFont"/>
    <w:uiPriority w:val="99"/>
    <w:semiHidden/>
    <w:unhideWhenUsed/>
    <w:rsid w:val="00781EA6"/>
    <w:rPr>
      <w:color w:val="605E5C"/>
      <w:shd w:val="clear" w:color="auto" w:fill="E1DFDD"/>
    </w:rPr>
  </w:style>
  <w:style w:type="paragraph" w:customStyle="1" w:styleId="Default">
    <w:name w:val="Default"/>
    <w:rsid w:val="00D43BB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A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70237"/>
    <w:rPr>
      <w:rFonts w:asciiTheme="majorHAnsi" w:eastAsiaTheme="majorEastAsia" w:hAnsiTheme="majorHAnsi" w:cstheme="majorBidi"/>
      <w:b/>
      <w:bCs/>
      <w:color w:val="4F81BD" w:themeColor="accent1"/>
      <w:lang w:val="en-GB"/>
    </w:rPr>
  </w:style>
  <w:style w:type="paragraph" w:styleId="Revision">
    <w:name w:val="Revision"/>
    <w:hidden/>
    <w:uiPriority w:val="99"/>
    <w:semiHidden/>
    <w:rsid w:val="00AD1DD3"/>
    <w:pPr>
      <w:spacing w:after="0" w:line="240" w:lineRule="auto"/>
    </w:pPr>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3990">
      <w:bodyDiv w:val="1"/>
      <w:marLeft w:val="0"/>
      <w:marRight w:val="0"/>
      <w:marTop w:val="0"/>
      <w:marBottom w:val="0"/>
      <w:divBdr>
        <w:top w:val="none" w:sz="0" w:space="0" w:color="auto"/>
        <w:left w:val="none" w:sz="0" w:space="0" w:color="auto"/>
        <w:bottom w:val="none" w:sz="0" w:space="0" w:color="auto"/>
        <w:right w:val="none" w:sz="0" w:space="0" w:color="auto"/>
      </w:divBdr>
    </w:div>
    <w:div w:id="137967020">
      <w:bodyDiv w:val="1"/>
      <w:marLeft w:val="0"/>
      <w:marRight w:val="0"/>
      <w:marTop w:val="0"/>
      <w:marBottom w:val="0"/>
      <w:divBdr>
        <w:top w:val="none" w:sz="0" w:space="0" w:color="auto"/>
        <w:left w:val="none" w:sz="0" w:space="0" w:color="auto"/>
        <w:bottom w:val="none" w:sz="0" w:space="0" w:color="auto"/>
        <w:right w:val="none" w:sz="0" w:space="0" w:color="auto"/>
      </w:divBdr>
    </w:div>
    <w:div w:id="297540459">
      <w:bodyDiv w:val="1"/>
      <w:marLeft w:val="0"/>
      <w:marRight w:val="0"/>
      <w:marTop w:val="0"/>
      <w:marBottom w:val="0"/>
      <w:divBdr>
        <w:top w:val="none" w:sz="0" w:space="0" w:color="auto"/>
        <w:left w:val="none" w:sz="0" w:space="0" w:color="auto"/>
        <w:bottom w:val="none" w:sz="0" w:space="0" w:color="auto"/>
        <w:right w:val="none" w:sz="0" w:space="0" w:color="auto"/>
      </w:divBdr>
    </w:div>
    <w:div w:id="348065249">
      <w:bodyDiv w:val="1"/>
      <w:marLeft w:val="0"/>
      <w:marRight w:val="0"/>
      <w:marTop w:val="0"/>
      <w:marBottom w:val="0"/>
      <w:divBdr>
        <w:top w:val="none" w:sz="0" w:space="0" w:color="auto"/>
        <w:left w:val="none" w:sz="0" w:space="0" w:color="auto"/>
        <w:bottom w:val="none" w:sz="0" w:space="0" w:color="auto"/>
        <w:right w:val="none" w:sz="0" w:space="0" w:color="auto"/>
      </w:divBdr>
    </w:div>
    <w:div w:id="402876673">
      <w:bodyDiv w:val="1"/>
      <w:marLeft w:val="0"/>
      <w:marRight w:val="0"/>
      <w:marTop w:val="0"/>
      <w:marBottom w:val="0"/>
      <w:divBdr>
        <w:top w:val="none" w:sz="0" w:space="0" w:color="auto"/>
        <w:left w:val="none" w:sz="0" w:space="0" w:color="auto"/>
        <w:bottom w:val="none" w:sz="0" w:space="0" w:color="auto"/>
        <w:right w:val="none" w:sz="0" w:space="0" w:color="auto"/>
      </w:divBdr>
    </w:div>
    <w:div w:id="407119984">
      <w:bodyDiv w:val="1"/>
      <w:marLeft w:val="0"/>
      <w:marRight w:val="0"/>
      <w:marTop w:val="0"/>
      <w:marBottom w:val="0"/>
      <w:divBdr>
        <w:top w:val="none" w:sz="0" w:space="0" w:color="auto"/>
        <w:left w:val="none" w:sz="0" w:space="0" w:color="auto"/>
        <w:bottom w:val="none" w:sz="0" w:space="0" w:color="auto"/>
        <w:right w:val="none" w:sz="0" w:space="0" w:color="auto"/>
      </w:divBdr>
    </w:div>
    <w:div w:id="409498529">
      <w:bodyDiv w:val="1"/>
      <w:marLeft w:val="0"/>
      <w:marRight w:val="0"/>
      <w:marTop w:val="0"/>
      <w:marBottom w:val="0"/>
      <w:divBdr>
        <w:top w:val="none" w:sz="0" w:space="0" w:color="auto"/>
        <w:left w:val="none" w:sz="0" w:space="0" w:color="auto"/>
        <w:bottom w:val="none" w:sz="0" w:space="0" w:color="auto"/>
        <w:right w:val="none" w:sz="0" w:space="0" w:color="auto"/>
      </w:divBdr>
    </w:div>
    <w:div w:id="654450861">
      <w:bodyDiv w:val="1"/>
      <w:marLeft w:val="0"/>
      <w:marRight w:val="0"/>
      <w:marTop w:val="0"/>
      <w:marBottom w:val="0"/>
      <w:divBdr>
        <w:top w:val="none" w:sz="0" w:space="0" w:color="auto"/>
        <w:left w:val="none" w:sz="0" w:space="0" w:color="auto"/>
        <w:bottom w:val="none" w:sz="0" w:space="0" w:color="auto"/>
        <w:right w:val="none" w:sz="0" w:space="0" w:color="auto"/>
      </w:divBdr>
    </w:div>
    <w:div w:id="717972541">
      <w:bodyDiv w:val="1"/>
      <w:marLeft w:val="0"/>
      <w:marRight w:val="0"/>
      <w:marTop w:val="0"/>
      <w:marBottom w:val="0"/>
      <w:divBdr>
        <w:top w:val="none" w:sz="0" w:space="0" w:color="auto"/>
        <w:left w:val="none" w:sz="0" w:space="0" w:color="auto"/>
        <w:bottom w:val="none" w:sz="0" w:space="0" w:color="auto"/>
        <w:right w:val="none" w:sz="0" w:space="0" w:color="auto"/>
      </w:divBdr>
    </w:div>
    <w:div w:id="740446071">
      <w:bodyDiv w:val="1"/>
      <w:marLeft w:val="0"/>
      <w:marRight w:val="0"/>
      <w:marTop w:val="0"/>
      <w:marBottom w:val="0"/>
      <w:divBdr>
        <w:top w:val="none" w:sz="0" w:space="0" w:color="auto"/>
        <w:left w:val="none" w:sz="0" w:space="0" w:color="auto"/>
        <w:bottom w:val="none" w:sz="0" w:space="0" w:color="auto"/>
        <w:right w:val="none" w:sz="0" w:space="0" w:color="auto"/>
      </w:divBdr>
    </w:div>
    <w:div w:id="875194996">
      <w:bodyDiv w:val="1"/>
      <w:marLeft w:val="0"/>
      <w:marRight w:val="0"/>
      <w:marTop w:val="0"/>
      <w:marBottom w:val="0"/>
      <w:divBdr>
        <w:top w:val="none" w:sz="0" w:space="0" w:color="auto"/>
        <w:left w:val="none" w:sz="0" w:space="0" w:color="auto"/>
        <w:bottom w:val="none" w:sz="0" w:space="0" w:color="auto"/>
        <w:right w:val="none" w:sz="0" w:space="0" w:color="auto"/>
      </w:divBdr>
    </w:div>
    <w:div w:id="1281182746">
      <w:bodyDiv w:val="1"/>
      <w:marLeft w:val="0"/>
      <w:marRight w:val="0"/>
      <w:marTop w:val="0"/>
      <w:marBottom w:val="0"/>
      <w:divBdr>
        <w:top w:val="none" w:sz="0" w:space="0" w:color="auto"/>
        <w:left w:val="none" w:sz="0" w:space="0" w:color="auto"/>
        <w:bottom w:val="none" w:sz="0" w:space="0" w:color="auto"/>
        <w:right w:val="none" w:sz="0" w:space="0" w:color="auto"/>
      </w:divBdr>
    </w:div>
    <w:div w:id="1316642995">
      <w:bodyDiv w:val="1"/>
      <w:marLeft w:val="0"/>
      <w:marRight w:val="0"/>
      <w:marTop w:val="0"/>
      <w:marBottom w:val="0"/>
      <w:divBdr>
        <w:top w:val="none" w:sz="0" w:space="0" w:color="auto"/>
        <w:left w:val="none" w:sz="0" w:space="0" w:color="auto"/>
        <w:bottom w:val="none" w:sz="0" w:space="0" w:color="auto"/>
        <w:right w:val="none" w:sz="0" w:space="0" w:color="auto"/>
      </w:divBdr>
      <w:divsChild>
        <w:div w:id="509877425">
          <w:marLeft w:val="0"/>
          <w:marRight w:val="0"/>
          <w:marTop w:val="0"/>
          <w:marBottom w:val="0"/>
          <w:divBdr>
            <w:top w:val="none" w:sz="0" w:space="0" w:color="auto"/>
            <w:left w:val="none" w:sz="0" w:space="0" w:color="auto"/>
            <w:bottom w:val="none" w:sz="0" w:space="0" w:color="auto"/>
            <w:right w:val="none" w:sz="0" w:space="0" w:color="auto"/>
          </w:divBdr>
          <w:divsChild>
            <w:div w:id="881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9667">
      <w:bodyDiv w:val="1"/>
      <w:marLeft w:val="0"/>
      <w:marRight w:val="0"/>
      <w:marTop w:val="0"/>
      <w:marBottom w:val="0"/>
      <w:divBdr>
        <w:top w:val="none" w:sz="0" w:space="0" w:color="auto"/>
        <w:left w:val="none" w:sz="0" w:space="0" w:color="auto"/>
        <w:bottom w:val="none" w:sz="0" w:space="0" w:color="auto"/>
        <w:right w:val="none" w:sz="0" w:space="0" w:color="auto"/>
      </w:divBdr>
    </w:div>
    <w:div w:id="1531331895">
      <w:bodyDiv w:val="1"/>
      <w:marLeft w:val="0"/>
      <w:marRight w:val="0"/>
      <w:marTop w:val="0"/>
      <w:marBottom w:val="0"/>
      <w:divBdr>
        <w:top w:val="none" w:sz="0" w:space="0" w:color="auto"/>
        <w:left w:val="none" w:sz="0" w:space="0" w:color="auto"/>
        <w:bottom w:val="none" w:sz="0" w:space="0" w:color="auto"/>
        <w:right w:val="none" w:sz="0" w:space="0" w:color="auto"/>
      </w:divBdr>
    </w:div>
    <w:div w:id="1574437172">
      <w:bodyDiv w:val="1"/>
      <w:marLeft w:val="0"/>
      <w:marRight w:val="0"/>
      <w:marTop w:val="0"/>
      <w:marBottom w:val="0"/>
      <w:divBdr>
        <w:top w:val="none" w:sz="0" w:space="0" w:color="auto"/>
        <w:left w:val="none" w:sz="0" w:space="0" w:color="auto"/>
        <w:bottom w:val="none" w:sz="0" w:space="0" w:color="auto"/>
        <w:right w:val="none" w:sz="0" w:space="0" w:color="auto"/>
      </w:divBdr>
    </w:div>
    <w:div w:id="21024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D715F-DD81-4385-A570-41BEBDB7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17776AB8</Template>
  <TotalTime>160</TotalTime>
  <Pages>3</Pages>
  <Words>1499</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Maison de la Paix</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Alizada Firoz;Laila Rodriguez-Bloch</dc:creator>
  <cp:lastModifiedBy>Damien Fares</cp:lastModifiedBy>
  <cp:revision>31</cp:revision>
  <cp:lastPrinted>2019-07-12T09:20:00Z</cp:lastPrinted>
  <dcterms:created xsi:type="dcterms:W3CDTF">2019-08-08T09:13:00Z</dcterms:created>
  <dcterms:modified xsi:type="dcterms:W3CDTF">2019-08-13T07:56:00Z</dcterms:modified>
</cp:coreProperties>
</file>