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DD" w:rsidRPr="00800EB3" w:rsidRDefault="00A963DD" w:rsidP="00A963DD">
      <w:pPr>
        <w:jc w:val="center"/>
        <w:rPr>
          <w:rFonts w:asciiTheme="minorHAnsi" w:eastAsia="Calibri" w:hAnsiTheme="minorHAnsi"/>
          <w:b/>
          <w:bCs/>
          <w:color w:val="000000"/>
          <w:sz w:val="22"/>
          <w:szCs w:val="22"/>
          <w:lang w:val="en-CA" w:eastAsia="fr-CH"/>
        </w:rPr>
      </w:pPr>
      <w:bookmarkStart w:id="0" w:name="_GoBack"/>
      <w:bookmarkEnd w:id="0"/>
    </w:p>
    <w:p w:rsidR="00A963DD" w:rsidRPr="00800EB3" w:rsidRDefault="00A963DD" w:rsidP="00A963DD">
      <w:pPr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  <w:lang w:val="en-CA" w:eastAsia="fr-CH"/>
        </w:rPr>
      </w:pPr>
      <w:r w:rsidRPr="00800EB3">
        <w:rPr>
          <w:rFonts w:asciiTheme="minorHAnsi" w:eastAsia="Calibri" w:hAnsiTheme="minorHAnsi"/>
          <w:b/>
          <w:bCs/>
          <w:color w:val="000000"/>
          <w:sz w:val="28"/>
          <w:szCs w:val="28"/>
          <w:lang w:val="en-CA" w:eastAsia="fr-CH"/>
        </w:rPr>
        <w:t>WEBSITE ACCESSSIBILITY AUDIT</w:t>
      </w:r>
    </w:p>
    <w:p w:rsidR="00A963DD" w:rsidRPr="00800EB3" w:rsidRDefault="00A963DD" w:rsidP="00A963DD">
      <w:pPr>
        <w:jc w:val="center"/>
        <w:rPr>
          <w:rFonts w:asciiTheme="minorHAnsi" w:eastAsia="Calibri" w:hAnsiTheme="minorHAnsi"/>
          <w:b/>
          <w:bCs/>
          <w:color w:val="000000"/>
          <w:sz w:val="22"/>
          <w:szCs w:val="22"/>
          <w:lang w:val="en-CA" w:eastAsia="fr-CH"/>
        </w:rPr>
      </w:pPr>
    </w:p>
    <w:p w:rsidR="00A963DD" w:rsidRPr="00A963DD" w:rsidRDefault="00A963DD" w:rsidP="00A963DD">
      <w:pPr>
        <w:jc w:val="center"/>
        <w:rPr>
          <w:rFonts w:asciiTheme="minorHAnsi" w:eastAsia="Calibri" w:hAnsiTheme="minorHAnsi"/>
          <w:color w:val="000000"/>
          <w:sz w:val="28"/>
          <w:szCs w:val="28"/>
          <w:lang w:eastAsia="fr-CH"/>
        </w:rPr>
      </w:pPr>
      <w:r w:rsidRPr="00800EB3">
        <w:rPr>
          <w:rFonts w:asciiTheme="minorHAnsi" w:eastAsia="Calibri" w:hAnsiTheme="minorHAnsi"/>
          <w:b/>
          <w:bCs/>
          <w:color w:val="000000"/>
          <w:sz w:val="28"/>
          <w:szCs w:val="28"/>
          <w:lang w:val="en-CA" w:eastAsia="fr-CH"/>
        </w:rPr>
        <w:t>CALL FOR EXPRESSIONS OF INTEREST</w:t>
      </w:r>
    </w:p>
    <w:p w:rsidR="00A963DD" w:rsidRPr="00A963DD" w:rsidRDefault="00A963DD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A963DD" w:rsidRPr="00800EB3" w:rsidRDefault="00A963DD" w:rsidP="00A963DD">
      <w:pPr>
        <w:jc w:val="both"/>
        <w:rPr>
          <w:rFonts w:asciiTheme="minorHAnsi" w:eastAsia="Calibri" w:hAnsiTheme="minorHAnsi"/>
          <w:b/>
          <w:sz w:val="22"/>
          <w:szCs w:val="22"/>
          <w:lang w:eastAsia="fr-CH"/>
        </w:rPr>
      </w:pPr>
      <w:r w:rsidRPr="00800EB3">
        <w:rPr>
          <w:rFonts w:asciiTheme="minorHAnsi" w:eastAsia="Calibri" w:hAnsiTheme="minorHAnsi"/>
          <w:b/>
          <w:sz w:val="22"/>
          <w:szCs w:val="22"/>
          <w:lang w:eastAsia="fr-CH"/>
        </w:rPr>
        <w:t>Introduction:</w:t>
      </w:r>
    </w:p>
    <w:p w:rsidR="00A963DD" w:rsidRPr="00800EB3" w:rsidRDefault="00A963DD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A963DD" w:rsidRPr="00800EB3" w:rsidRDefault="00A963DD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  <w:r w:rsidRPr="00800EB3">
        <w:rPr>
          <w:rFonts w:asciiTheme="minorHAnsi" w:eastAsia="Calibri" w:hAnsiTheme="minorHAnsi"/>
          <w:sz w:val="22"/>
          <w:szCs w:val="22"/>
          <w:lang w:eastAsia="fr-CH"/>
        </w:rPr>
        <w:t xml:space="preserve">The Anti-Personnel Mine Ban Convention Implementation Support Unit </w:t>
      </w:r>
      <w:r w:rsidR="00E5153B">
        <w:rPr>
          <w:rFonts w:asciiTheme="minorHAnsi" w:eastAsia="Calibri" w:hAnsiTheme="minorHAnsi"/>
          <w:sz w:val="22"/>
          <w:szCs w:val="22"/>
          <w:lang w:eastAsia="fr-CH"/>
        </w:rPr>
        <w:t xml:space="preserve">(ISU) </w:t>
      </w:r>
      <w:r w:rsidRPr="00800EB3">
        <w:rPr>
          <w:rFonts w:asciiTheme="minorHAnsi" w:eastAsia="Calibri" w:hAnsiTheme="minorHAnsi"/>
          <w:sz w:val="22"/>
          <w:szCs w:val="22"/>
          <w:lang w:eastAsia="fr-CH"/>
        </w:rPr>
        <w:t>seeks an individual or company to audit the Convention’s website (www.apminebanconvention.org) with</w:t>
      </w:r>
      <w:r w:rsidRPr="00A963DD">
        <w:rPr>
          <w:rFonts w:asciiTheme="minorHAnsi" w:eastAsia="Calibri" w:hAnsiTheme="minorHAnsi"/>
          <w:sz w:val="22"/>
          <w:szCs w:val="22"/>
          <w:lang w:eastAsia="fr-CH"/>
        </w:rPr>
        <w:t xml:space="preserve"> a view to </w:t>
      </w:r>
      <w:r w:rsidRPr="00800EB3">
        <w:rPr>
          <w:rFonts w:asciiTheme="minorHAnsi" w:eastAsia="Calibri" w:hAnsiTheme="minorHAnsi"/>
          <w:sz w:val="22"/>
          <w:szCs w:val="22"/>
          <w:lang w:eastAsia="fr-CH"/>
        </w:rPr>
        <w:t>delivering recommendations on how an overhauled version of the website would be generally on par with international web accessibility standards.</w:t>
      </w:r>
    </w:p>
    <w:p w:rsidR="00A963DD" w:rsidRPr="00800EB3" w:rsidRDefault="00A963DD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A963DD" w:rsidRPr="00800EB3" w:rsidRDefault="00A963DD" w:rsidP="00A963DD">
      <w:pPr>
        <w:jc w:val="both"/>
        <w:rPr>
          <w:rFonts w:asciiTheme="minorHAnsi" w:eastAsia="Calibri" w:hAnsiTheme="minorHAnsi"/>
          <w:b/>
          <w:sz w:val="22"/>
          <w:szCs w:val="22"/>
          <w:lang w:eastAsia="fr-CH"/>
        </w:rPr>
      </w:pPr>
      <w:r w:rsidRPr="00800EB3">
        <w:rPr>
          <w:rFonts w:asciiTheme="minorHAnsi" w:eastAsia="Calibri" w:hAnsiTheme="minorHAnsi"/>
          <w:b/>
          <w:sz w:val="22"/>
          <w:szCs w:val="22"/>
          <w:lang w:eastAsia="fr-CH"/>
        </w:rPr>
        <w:t>Deliverable:</w:t>
      </w:r>
    </w:p>
    <w:p w:rsidR="00A963DD" w:rsidRPr="00800EB3" w:rsidRDefault="00A963DD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A963DD" w:rsidRPr="00800EB3" w:rsidRDefault="00371401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  <w:r w:rsidRPr="00800EB3">
        <w:rPr>
          <w:rFonts w:asciiTheme="minorHAnsi" w:eastAsia="Calibri" w:hAnsiTheme="minorHAnsi"/>
          <w:sz w:val="22"/>
          <w:szCs w:val="22"/>
          <w:lang w:eastAsia="fr-CH"/>
        </w:rPr>
        <w:t>An individual or company contracted to carry out the audit will deliver, by 30 September, a written report that contains the following:</w:t>
      </w:r>
    </w:p>
    <w:p w:rsidR="00371401" w:rsidRPr="00800EB3" w:rsidRDefault="00371401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371401" w:rsidRPr="00800EB3" w:rsidRDefault="00371401" w:rsidP="00371401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lang w:eastAsia="fr-CH"/>
        </w:rPr>
      </w:pPr>
      <w:r w:rsidRPr="00800EB3">
        <w:rPr>
          <w:rFonts w:asciiTheme="minorHAnsi" w:hAnsiTheme="minorHAnsi"/>
          <w:lang w:eastAsia="fr-CH"/>
        </w:rPr>
        <w:t>A summary of international web accessibility standards,</w:t>
      </w:r>
    </w:p>
    <w:p w:rsidR="00371401" w:rsidRPr="00800EB3" w:rsidRDefault="00371401" w:rsidP="00371401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lang w:eastAsia="fr-CH"/>
        </w:rPr>
      </w:pPr>
      <w:r w:rsidRPr="00800EB3">
        <w:rPr>
          <w:rFonts w:asciiTheme="minorHAnsi" w:hAnsiTheme="minorHAnsi"/>
          <w:lang w:eastAsia="fr-CH"/>
        </w:rPr>
        <w:t>An evaluation of how the Convention’s website complies / fails to comply with international web accessibility standards,</w:t>
      </w:r>
      <w:r w:rsidR="00800EB3" w:rsidRPr="00800EB3">
        <w:rPr>
          <w:rFonts w:asciiTheme="minorHAnsi" w:hAnsiTheme="minorHAnsi"/>
          <w:lang w:eastAsia="fr-CH"/>
        </w:rPr>
        <w:t xml:space="preserve"> taking into account a broad range of users,</w:t>
      </w:r>
    </w:p>
    <w:p w:rsidR="00371401" w:rsidRPr="00800EB3" w:rsidRDefault="00371401" w:rsidP="00371401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lang w:eastAsia="fr-CH"/>
        </w:rPr>
      </w:pPr>
      <w:r w:rsidRPr="00800EB3">
        <w:rPr>
          <w:rFonts w:asciiTheme="minorHAnsi" w:hAnsiTheme="minorHAnsi"/>
          <w:lang w:eastAsia="fr-CH"/>
        </w:rPr>
        <w:t xml:space="preserve">Recommendations that the ISU may wish to take into account in overhauling the </w:t>
      </w:r>
      <w:r w:rsidR="00E5153B">
        <w:rPr>
          <w:rFonts w:asciiTheme="minorHAnsi" w:hAnsiTheme="minorHAnsi"/>
          <w:lang w:eastAsia="fr-CH"/>
        </w:rPr>
        <w:t xml:space="preserve">Convention’s </w:t>
      </w:r>
      <w:r w:rsidRPr="00800EB3">
        <w:rPr>
          <w:rFonts w:asciiTheme="minorHAnsi" w:hAnsiTheme="minorHAnsi"/>
          <w:lang w:eastAsia="fr-CH"/>
        </w:rPr>
        <w:t xml:space="preserve">website to ensure that </w:t>
      </w:r>
      <w:r w:rsidR="00E5153B">
        <w:rPr>
          <w:rFonts w:asciiTheme="minorHAnsi" w:hAnsiTheme="minorHAnsi"/>
          <w:lang w:eastAsia="fr-CH"/>
        </w:rPr>
        <w:t>it</w:t>
      </w:r>
      <w:r w:rsidRPr="00800EB3">
        <w:rPr>
          <w:rFonts w:asciiTheme="minorHAnsi" w:hAnsiTheme="minorHAnsi"/>
          <w:lang w:eastAsia="fr-CH"/>
        </w:rPr>
        <w:t xml:space="preserve"> can be as accessible / barrier-free as possible.</w:t>
      </w:r>
    </w:p>
    <w:p w:rsidR="00371401" w:rsidRPr="00800EB3" w:rsidRDefault="00371401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371401" w:rsidRPr="00800EB3" w:rsidRDefault="00371401" w:rsidP="00A963DD">
      <w:pPr>
        <w:jc w:val="both"/>
        <w:rPr>
          <w:rFonts w:asciiTheme="minorHAnsi" w:eastAsia="Calibri" w:hAnsiTheme="minorHAnsi"/>
          <w:b/>
          <w:sz w:val="22"/>
          <w:szCs w:val="22"/>
          <w:lang w:eastAsia="fr-CH"/>
        </w:rPr>
      </w:pPr>
      <w:r w:rsidRPr="00800EB3">
        <w:rPr>
          <w:rFonts w:asciiTheme="minorHAnsi" w:eastAsia="Calibri" w:hAnsiTheme="minorHAnsi"/>
          <w:b/>
          <w:sz w:val="22"/>
          <w:szCs w:val="22"/>
          <w:lang w:eastAsia="fr-CH"/>
        </w:rPr>
        <w:t>Procedure:</w:t>
      </w:r>
    </w:p>
    <w:p w:rsidR="00371401" w:rsidRPr="002952EC" w:rsidRDefault="00371401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800EB3" w:rsidRPr="002952EC" w:rsidRDefault="00800EB3" w:rsidP="00800EB3">
      <w:pPr>
        <w:jc w:val="both"/>
        <w:rPr>
          <w:rFonts w:asciiTheme="minorHAnsi" w:hAnsiTheme="minorHAnsi"/>
          <w:sz w:val="22"/>
          <w:szCs w:val="22"/>
          <w:lang w:eastAsia="fr-CH"/>
        </w:rPr>
      </w:pPr>
      <w:r w:rsidRPr="002952EC">
        <w:rPr>
          <w:rFonts w:asciiTheme="minorHAnsi" w:eastAsia="Calibri" w:hAnsiTheme="minorHAnsi"/>
          <w:sz w:val="22"/>
          <w:szCs w:val="22"/>
          <w:lang w:eastAsia="fr-CH"/>
        </w:rPr>
        <w:t>Those interested in offering their services to the Implementation Support Unit to deliver what is being requested should</w:t>
      </w:r>
      <w:r w:rsidRPr="002952EC">
        <w:rPr>
          <w:rFonts w:asciiTheme="minorHAnsi" w:hAnsiTheme="minorHAnsi"/>
          <w:sz w:val="22"/>
          <w:szCs w:val="22"/>
          <w:lang w:eastAsia="fr-CH"/>
        </w:rPr>
        <w:t xml:space="preserve"> send an expression of interest to </w:t>
      </w:r>
      <w:hyperlink r:id="rId8" w:history="1">
        <w:r w:rsidRPr="002952EC">
          <w:rPr>
            <w:rStyle w:val="Hyperlink"/>
            <w:rFonts w:asciiTheme="minorHAnsi" w:hAnsiTheme="minorHAnsi"/>
            <w:sz w:val="22"/>
            <w:szCs w:val="22"/>
            <w:lang w:eastAsia="fr-CH"/>
          </w:rPr>
          <w:t>w.mcdermott@apminebanconvention.org</w:t>
        </w:r>
      </w:hyperlink>
      <w:r w:rsidRPr="002952EC">
        <w:rPr>
          <w:rFonts w:asciiTheme="minorHAnsi" w:hAnsiTheme="minorHAnsi"/>
          <w:sz w:val="22"/>
          <w:szCs w:val="22"/>
          <w:lang w:eastAsia="fr-CH"/>
        </w:rPr>
        <w:t xml:space="preserve"> by 15 September outlining the following:</w:t>
      </w:r>
    </w:p>
    <w:p w:rsidR="00800EB3" w:rsidRPr="002952EC" w:rsidRDefault="00800EB3" w:rsidP="00800EB3">
      <w:pPr>
        <w:jc w:val="both"/>
        <w:rPr>
          <w:rFonts w:asciiTheme="minorHAnsi" w:hAnsiTheme="minorHAnsi"/>
          <w:sz w:val="22"/>
          <w:szCs w:val="22"/>
          <w:lang w:eastAsia="fr-CH"/>
        </w:rPr>
      </w:pPr>
    </w:p>
    <w:p w:rsidR="00800EB3" w:rsidRDefault="00800EB3" w:rsidP="00800EB3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lang w:eastAsia="fr-CH"/>
        </w:rPr>
      </w:pPr>
      <w:r w:rsidRPr="002952EC">
        <w:rPr>
          <w:rFonts w:asciiTheme="minorHAnsi" w:hAnsiTheme="minorHAnsi"/>
          <w:lang w:eastAsia="fr-CH"/>
        </w:rPr>
        <w:t>The individual or company’s qualifications</w:t>
      </w:r>
      <w:r>
        <w:rPr>
          <w:rFonts w:asciiTheme="minorHAnsi" w:hAnsiTheme="minorHAnsi"/>
          <w:lang w:eastAsia="fr-CH"/>
        </w:rPr>
        <w:t xml:space="preserve"> to carry out the audit,</w:t>
      </w:r>
    </w:p>
    <w:p w:rsidR="00800EB3" w:rsidRDefault="00800EB3" w:rsidP="00800EB3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lang w:eastAsia="fr-CH"/>
        </w:rPr>
      </w:pPr>
      <w:r>
        <w:rPr>
          <w:rFonts w:asciiTheme="minorHAnsi" w:hAnsiTheme="minorHAnsi"/>
          <w:lang w:eastAsia="fr-CH"/>
        </w:rPr>
        <w:t xml:space="preserve">The individual or company’s proposed approach </w:t>
      </w:r>
      <w:r w:rsidR="002952EC">
        <w:rPr>
          <w:rFonts w:asciiTheme="minorHAnsi" w:hAnsiTheme="minorHAnsi"/>
          <w:lang w:eastAsia="fr-CH"/>
        </w:rPr>
        <w:t>to</w:t>
      </w:r>
      <w:r>
        <w:rPr>
          <w:rFonts w:asciiTheme="minorHAnsi" w:hAnsiTheme="minorHAnsi"/>
          <w:lang w:eastAsia="fr-CH"/>
        </w:rPr>
        <w:t xml:space="preserve"> carrying out the audit,</w:t>
      </w:r>
    </w:p>
    <w:p w:rsidR="00800EB3" w:rsidRPr="00800EB3" w:rsidRDefault="00800EB3" w:rsidP="00800EB3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lang w:eastAsia="fr-CH"/>
        </w:rPr>
      </w:pPr>
      <w:r>
        <w:rPr>
          <w:rFonts w:asciiTheme="minorHAnsi" w:hAnsiTheme="minorHAnsi"/>
          <w:lang w:eastAsia="fr-CH"/>
        </w:rPr>
        <w:t>The individual or company’s cost for carrying out the audit and delivering the report.</w:t>
      </w:r>
    </w:p>
    <w:p w:rsidR="00371401" w:rsidRDefault="00371401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E5153B" w:rsidRDefault="00E5153B" w:rsidP="00E5153B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  <w:r>
        <w:rPr>
          <w:rFonts w:asciiTheme="minorHAnsi" w:eastAsia="Calibri" w:hAnsiTheme="minorHAnsi"/>
          <w:sz w:val="22"/>
          <w:szCs w:val="22"/>
          <w:lang w:eastAsia="fr-CH"/>
        </w:rPr>
        <w:t>Note that should the ISU proceed in contracting an individual who is a self-employed worker</w:t>
      </w:r>
      <w:r w:rsidRPr="00E5153B">
        <w:rPr>
          <w:rFonts w:asciiTheme="minorHAnsi" w:eastAsia="Calibri" w:hAnsiTheme="minorHAnsi"/>
          <w:sz w:val="22"/>
          <w:szCs w:val="22"/>
          <w:lang w:eastAsia="fr-CH"/>
        </w:rPr>
        <w:t xml:space="preserve"> registered in Switzerland, or in a country of</w:t>
      </w:r>
      <w:r>
        <w:rPr>
          <w:rFonts w:asciiTheme="minorHAnsi" w:eastAsia="Calibri" w:hAnsiTheme="minorHAnsi"/>
          <w:sz w:val="22"/>
          <w:szCs w:val="22"/>
          <w:lang w:eastAsia="fr-CH"/>
        </w:rPr>
        <w:t xml:space="preserve"> </w:t>
      </w:r>
      <w:r w:rsidRPr="00E5153B">
        <w:rPr>
          <w:rFonts w:asciiTheme="minorHAnsi" w:eastAsia="Calibri" w:hAnsiTheme="minorHAnsi"/>
          <w:sz w:val="22"/>
          <w:szCs w:val="22"/>
          <w:lang w:eastAsia="fr-CH"/>
        </w:rPr>
        <w:t xml:space="preserve">the European Union or the EFTA, </w:t>
      </w:r>
      <w:r>
        <w:rPr>
          <w:rFonts w:asciiTheme="minorHAnsi" w:eastAsia="Calibri" w:hAnsiTheme="minorHAnsi"/>
          <w:sz w:val="22"/>
          <w:szCs w:val="22"/>
          <w:lang w:eastAsia="fr-CH"/>
        </w:rPr>
        <w:t>the individual in question will be asked to</w:t>
      </w:r>
      <w:r w:rsidRPr="00E5153B">
        <w:rPr>
          <w:rFonts w:asciiTheme="minorHAnsi" w:eastAsia="Calibri" w:hAnsiTheme="minorHAnsi"/>
          <w:sz w:val="22"/>
          <w:szCs w:val="22"/>
          <w:lang w:eastAsia="fr-CH"/>
        </w:rPr>
        <w:t xml:space="preserve"> provide documentation that demonstrates</w:t>
      </w:r>
      <w:r>
        <w:rPr>
          <w:rFonts w:asciiTheme="minorHAnsi" w:eastAsia="Calibri" w:hAnsiTheme="minorHAnsi"/>
          <w:sz w:val="22"/>
          <w:szCs w:val="22"/>
          <w:lang w:eastAsia="fr-CH"/>
        </w:rPr>
        <w:t xml:space="preserve"> her or his </w:t>
      </w:r>
      <w:r w:rsidRPr="00E5153B">
        <w:rPr>
          <w:rFonts w:asciiTheme="minorHAnsi" w:eastAsia="Calibri" w:hAnsiTheme="minorHAnsi"/>
          <w:sz w:val="22"/>
          <w:szCs w:val="22"/>
          <w:lang w:eastAsia="fr-CH"/>
        </w:rPr>
        <w:t>self-employed worker status.</w:t>
      </w:r>
    </w:p>
    <w:p w:rsidR="00E5153B" w:rsidRPr="00800EB3" w:rsidRDefault="00E5153B" w:rsidP="00E5153B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371401" w:rsidRPr="00E5153B" w:rsidRDefault="00371401" w:rsidP="00A963DD">
      <w:pPr>
        <w:jc w:val="both"/>
        <w:rPr>
          <w:rFonts w:asciiTheme="minorHAnsi" w:eastAsia="Calibri" w:hAnsiTheme="minorHAnsi"/>
          <w:b/>
          <w:sz w:val="22"/>
          <w:szCs w:val="22"/>
          <w:lang w:eastAsia="fr-CH"/>
        </w:rPr>
      </w:pPr>
      <w:r w:rsidRPr="00E5153B">
        <w:rPr>
          <w:rFonts w:asciiTheme="minorHAnsi" w:eastAsia="Calibri" w:hAnsiTheme="minorHAnsi"/>
          <w:b/>
          <w:sz w:val="22"/>
          <w:szCs w:val="22"/>
          <w:lang w:eastAsia="fr-CH"/>
        </w:rPr>
        <w:t>Background:</w:t>
      </w:r>
    </w:p>
    <w:p w:rsidR="00A963DD" w:rsidRPr="00800EB3" w:rsidRDefault="00A963DD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371401" w:rsidRPr="00800EB3" w:rsidRDefault="00371401" w:rsidP="00371401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  <w:r w:rsidRPr="00800EB3">
        <w:rPr>
          <w:rFonts w:asciiTheme="minorHAnsi" w:eastAsia="Calibri" w:hAnsiTheme="minorHAnsi"/>
          <w:sz w:val="22"/>
          <w:szCs w:val="22"/>
          <w:lang w:eastAsia="fr-CH"/>
        </w:rPr>
        <w:t>The</w:t>
      </w:r>
      <w:r w:rsidR="00E5153B">
        <w:rPr>
          <w:rFonts w:asciiTheme="minorHAnsi" w:eastAsia="Calibri" w:hAnsiTheme="minorHAnsi"/>
          <w:sz w:val="22"/>
          <w:szCs w:val="22"/>
          <w:lang w:eastAsia="fr-CH"/>
        </w:rPr>
        <w:t xml:space="preserve"> ISU</w:t>
      </w:r>
      <w:r w:rsidRPr="00800EB3">
        <w:rPr>
          <w:rFonts w:asciiTheme="minorHAnsi" w:eastAsia="Calibri" w:hAnsiTheme="minorHAnsi"/>
          <w:sz w:val="22"/>
          <w:szCs w:val="22"/>
          <w:lang w:eastAsia="fr-CH"/>
        </w:rPr>
        <w:t xml:space="preserve"> is the secretariat to the 1997 Convention on the Prohibition of the Use, Stockpiling, Production and Transfer of Anti-Personnel Mines and on Their Destruction. The ISU is mandated to support the States Parties to the Convention, in particular by doing the following:</w:t>
      </w:r>
    </w:p>
    <w:p w:rsidR="00371401" w:rsidRPr="00800EB3" w:rsidRDefault="00371401" w:rsidP="00371401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371401" w:rsidRPr="00800EB3" w:rsidRDefault="00371401" w:rsidP="00371401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lang w:eastAsia="fr-CH"/>
        </w:rPr>
      </w:pPr>
      <w:r w:rsidRPr="00800EB3">
        <w:rPr>
          <w:rFonts w:asciiTheme="minorHAnsi" w:hAnsiTheme="minorHAnsi"/>
          <w:lang w:eastAsia="fr-CH"/>
        </w:rPr>
        <w:t>Supporting the Convention’s implementation machinery and office holders,</w:t>
      </w:r>
    </w:p>
    <w:p w:rsidR="00371401" w:rsidRPr="00800EB3" w:rsidRDefault="00371401" w:rsidP="00371401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lang w:eastAsia="fr-CH"/>
        </w:rPr>
      </w:pPr>
      <w:r w:rsidRPr="00800EB3">
        <w:rPr>
          <w:rFonts w:asciiTheme="minorHAnsi" w:hAnsiTheme="minorHAnsi"/>
          <w:lang w:eastAsia="fr-CH"/>
        </w:rPr>
        <w:t>Providing advice and technical support to individual States Parties on the implementation and universalization of the Convention,</w:t>
      </w:r>
    </w:p>
    <w:p w:rsidR="00371401" w:rsidRPr="00800EB3" w:rsidRDefault="00371401" w:rsidP="00371401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lang w:eastAsia="fr-CH"/>
        </w:rPr>
      </w:pPr>
      <w:r w:rsidRPr="00800EB3">
        <w:rPr>
          <w:rFonts w:asciiTheme="minorHAnsi" w:hAnsiTheme="minorHAnsi"/>
          <w:lang w:eastAsia="fr-CH"/>
        </w:rPr>
        <w:lastRenderedPageBreak/>
        <w:t>Communicating and providing information about the Convention,</w:t>
      </w:r>
    </w:p>
    <w:p w:rsidR="00371401" w:rsidRPr="00800EB3" w:rsidRDefault="00371401" w:rsidP="00371401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lang w:eastAsia="fr-CH"/>
        </w:rPr>
      </w:pPr>
      <w:r w:rsidRPr="00800EB3">
        <w:rPr>
          <w:rFonts w:asciiTheme="minorHAnsi" w:hAnsiTheme="minorHAnsi"/>
          <w:lang w:eastAsia="fr-CH"/>
        </w:rPr>
        <w:t>Keeping records of formal and informal meetings under the Convention, and</w:t>
      </w:r>
    </w:p>
    <w:p w:rsidR="00371401" w:rsidRPr="00800EB3" w:rsidRDefault="00371401" w:rsidP="00371401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lang w:eastAsia="fr-CH"/>
        </w:rPr>
      </w:pPr>
      <w:r w:rsidRPr="00800EB3">
        <w:rPr>
          <w:rFonts w:asciiTheme="minorHAnsi" w:hAnsiTheme="minorHAnsi"/>
          <w:lang w:eastAsia="fr-CH"/>
        </w:rPr>
        <w:t>Liaising and coordinating with relevant international organisations that participate in the work of the Convention.</w:t>
      </w:r>
    </w:p>
    <w:p w:rsidR="00371401" w:rsidRPr="00800EB3" w:rsidRDefault="00371401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371401" w:rsidRPr="00800EB3" w:rsidRDefault="00A963DD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  <w:r w:rsidRPr="00A963DD">
        <w:rPr>
          <w:rFonts w:asciiTheme="minorHAnsi" w:eastAsia="Calibri" w:hAnsiTheme="minorHAnsi"/>
          <w:sz w:val="22"/>
          <w:szCs w:val="22"/>
          <w:lang w:eastAsia="fr-CH"/>
        </w:rPr>
        <w:t xml:space="preserve">In the fulfilment of </w:t>
      </w:r>
      <w:r w:rsidR="00371401" w:rsidRPr="00800EB3">
        <w:rPr>
          <w:rFonts w:asciiTheme="minorHAnsi" w:eastAsia="Calibri" w:hAnsiTheme="minorHAnsi"/>
          <w:sz w:val="22"/>
          <w:szCs w:val="22"/>
          <w:lang w:eastAsia="fr-CH"/>
        </w:rPr>
        <w:t>aspects of this</w:t>
      </w:r>
      <w:r w:rsidRPr="00A963DD">
        <w:rPr>
          <w:rFonts w:asciiTheme="minorHAnsi" w:eastAsia="Calibri" w:hAnsiTheme="minorHAnsi"/>
          <w:sz w:val="22"/>
          <w:szCs w:val="22"/>
          <w:lang w:eastAsia="fr-CH"/>
        </w:rPr>
        <w:t xml:space="preserve"> mandate, the ISU </w:t>
      </w:r>
      <w:r w:rsidRPr="00800EB3">
        <w:rPr>
          <w:rFonts w:asciiTheme="minorHAnsi" w:eastAsia="Calibri" w:hAnsiTheme="minorHAnsi"/>
          <w:sz w:val="22"/>
          <w:szCs w:val="22"/>
          <w:lang w:eastAsia="fr-CH"/>
        </w:rPr>
        <w:t xml:space="preserve">maintains </w:t>
      </w:r>
      <w:r w:rsidRPr="00A963DD">
        <w:rPr>
          <w:rFonts w:asciiTheme="minorHAnsi" w:eastAsia="Calibri" w:hAnsiTheme="minorHAnsi"/>
          <w:sz w:val="22"/>
          <w:szCs w:val="22"/>
          <w:lang w:eastAsia="fr-CH"/>
        </w:rPr>
        <w:t>the Anti-Personnel Mine Ban Convention</w:t>
      </w:r>
      <w:r w:rsidRPr="00800EB3">
        <w:rPr>
          <w:rFonts w:asciiTheme="minorHAnsi" w:eastAsia="Calibri" w:hAnsiTheme="minorHAnsi"/>
          <w:sz w:val="22"/>
          <w:szCs w:val="22"/>
          <w:lang w:eastAsia="fr-CH"/>
        </w:rPr>
        <w:t>’s</w:t>
      </w:r>
      <w:r w:rsidRPr="00A963DD">
        <w:rPr>
          <w:rFonts w:asciiTheme="minorHAnsi" w:eastAsia="Calibri" w:hAnsiTheme="minorHAnsi"/>
          <w:sz w:val="22"/>
          <w:szCs w:val="22"/>
          <w:lang w:eastAsia="fr-CH"/>
        </w:rPr>
        <w:t xml:space="preserve"> website as a tool for communication, disseminating information to a variety of audiences, and as an information portal.</w:t>
      </w:r>
      <w:r w:rsidR="00371401" w:rsidRPr="00800EB3">
        <w:rPr>
          <w:rFonts w:asciiTheme="minorHAnsi" w:eastAsia="Calibri" w:hAnsiTheme="minorHAnsi"/>
          <w:sz w:val="22"/>
          <w:szCs w:val="22"/>
          <w:lang w:eastAsia="fr-CH"/>
        </w:rPr>
        <w:t xml:space="preserve"> </w:t>
      </w:r>
      <w:r w:rsidRPr="00A963DD">
        <w:rPr>
          <w:rFonts w:asciiTheme="minorHAnsi" w:eastAsia="Calibri" w:hAnsiTheme="minorHAnsi"/>
          <w:sz w:val="22"/>
          <w:szCs w:val="22"/>
          <w:lang w:eastAsia="fr-CH"/>
        </w:rPr>
        <w:t xml:space="preserve">As part of the ISU’s commitment to accessibility for all, the ISU </w:t>
      </w:r>
      <w:r w:rsidRPr="00800EB3">
        <w:rPr>
          <w:rFonts w:asciiTheme="minorHAnsi" w:eastAsia="Calibri" w:hAnsiTheme="minorHAnsi"/>
          <w:sz w:val="22"/>
          <w:szCs w:val="22"/>
          <w:lang w:eastAsia="fr-CH"/>
        </w:rPr>
        <w:t>aims to see that the Convention’s website can be as accessibl</w:t>
      </w:r>
      <w:r w:rsidR="00371401" w:rsidRPr="00800EB3">
        <w:rPr>
          <w:rFonts w:asciiTheme="minorHAnsi" w:eastAsia="Calibri" w:hAnsiTheme="minorHAnsi"/>
          <w:sz w:val="22"/>
          <w:szCs w:val="22"/>
          <w:lang w:eastAsia="fr-CH"/>
        </w:rPr>
        <w:t>e / barrier-free as possible</w:t>
      </w:r>
      <w:r w:rsidRPr="00A963DD">
        <w:rPr>
          <w:rFonts w:asciiTheme="minorHAnsi" w:eastAsia="Calibri" w:hAnsiTheme="minorHAnsi"/>
          <w:sz w:val="22"/>
          <w:szCs w:val="22"/>
          <w:lang w:eastAsia="fr-CH"/>
        </w:rPr>
        <w:t>.</w:t>
      </w:r>
    </w:p>
    <w:p w:rsidR="00371401" w:rsidRPr="00800EB3" w:rsidRDefault="00371401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</w:p>
    <w:p w:rsidR="00371401" w:rsidRPr="00800EB3" w:rsidRDefault="00371401" w:rsidP="00A963DD">
      <w:pPr>
        <w:jc w:val="both"/>
        <w:rPr>
          <w:rFonts w:asciiTheme="minorHAnsi" w:eastAsia="Calibri" w:hAnsiTheme="minorHAnsi"/>
          <w:sz w:val="22"/>
          <w:szCs w:val="22"/>
          <w:lang w:eastAsia="fr-CH"/>
        </w:rPr>
      </w:pPr>
      <w:r w:rsidRPr="00800EB3">
        <w:rPr>
          <w:rFonts w:asciiTheme="minorHAnsi" w:eastAsia="Calibri" w:hAnsiTheme="minorHAnsi"/>
          <w:sz w:val="22"/>
          <w:szCs w:val="22"/>
          <w:lang w:eastAsia="fr-CH"/>
        </w:rPr>
        <w:t>The effort to audit the Convention’s website from the point of view of accessibility is being funded by the European Union through a 2012 EU Council Decision in support of the Convention, which the ISU is implementing.</w:t>
      </w:r>
      <w:r w:rsidR="00A963DD" w:rsidRPr="00A963DD">
        <w:rPr>
          <w:rFonts w:asciiTheme="minorHAnsi" w:eastAsia="Calibri" w:hAnsiTheme="minorHAnsi"/>
          <w:sz w:val="22"/>
          <w:szCs w:val="22"/>
          <w:lang w:eastAsia="fr-CH"/>
        </w:rPr>
        <w:t xml:space="preserve"> </w:t>
      </w:r>
    </w:p>
    <w:sectPr w:rsidR="00371401" w:rsidRPr="00800EB3" w:rsidSect="004A34B8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440" w:right="1440" w:bottom="567" w:left="1440" w:header="709" w:footer="425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555" w:rsidRDefault="00E93555">
      <w:r>
        <w:separator/>
      </w:r>
    </w:p>
  </w:endnote>
  <w:endnote w:type="continuationSeparator" w:id="0">
    <w:p w:rsidR="00E93555" w:rsidRDefault="00E9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35" w:rsidRPr="005F7F35" w:rsidRDefault="005F7F35" w:rsidP="005F7F35">
    <w:pPr>
      <w:ind w:left="1134"/>
      <w:jc w:val="right"/>
      <w:rPr>
        <w:rFonts w:ascii="Verdana" w:hAnsi="Verdana"/>
        <w:b/>
        <w:sz w:val="14"/>
        <w:lang w:val="fr-CH"/>
      </w:rPr>
    </w:pPr>
    <w:r w:rsidRPr="005F7F35">
      <w:rPr>
        <w:rFonts w:ascii="Verdana" w:hAnsi="Verdana"/>
        <w:b/>
        <w:sz w:val="14"/>
        <w:lang w:val="fr-CH"/>
      </w:rPr>
      <w:t xml:space="preserve">Anti-Personnel Mine Ban Convention </w:t>
    </w:r>
    <w:proofErr w:type="spellStart"/>
    <w:r w:rsidRPr="005F7F35">
      <w:rPr>
        <w:rFonts w:ascii="Verdana" w:hAnsi="Verdana"/>
        <w:b/>
        <w:sz w:val="14"/>
        <w:lang w:val="fr-CH"/>
      </w:rPr>
      <w:t>Implementation</w:t>
    </w:r>
    <w:proofErr w:type="spellEnd"/>
    <w:r w:rsidRPr="005F7F35">
      <w:rPr>
        <w:rFonts w:ascii="Verdana" w:hAnsi="Verdana"/>
        <w:b/>
        <w:sz w:val="14"/>
        <w:lang w:val="fr-CH"/>
      </w:rPr>
      <w:t xml:space="preserve"> Support Unit</w:t>
    </w:r>
  </w:p>
  <w:p w:rsidR="005F7F35" w:rsidRPr="005F7F35" w:rsidRDefault="005F7F35" w:rsidP="005F7F35">
    <w:pPr>
      <w:ind w:left="851"/>
      <w:jc w:val="right"/>
      <w:rPr>
        <w:rFonts w:ascii="Verdana" w:hAnsi="Verdana"/>
        <w:sz w:val="14"/>
        <w:lang w:val="fr-CH"/>
      </w:rPr>
    </w:pPr>
  </w:p>
  <w:p w:rsidR="005F7F35" w:rsidRPr="005F7F35" w:rsidRDefault="005F7F35" w:rsidP="005F7F35">
    <w:pPr>
      <w:ind w:left="851"/>
      <w:jc w:val="right"/>
      <w:rPr>
        <w:rFonts w:ascii="Verdana" w:hAnsi="Verdana"/>
        <w:b/>
        <w:sz w:val="14"/>
        <w:lang w:val="fr-CH"/>
      </w:rPr>
    </w:pPr>
    <w:r w:rsidRPr="005F7F35">
      <w:rPr>
        <w:rFonts w:ascii="Verdana" w:hAnsi="Verdana"/>
        <w:sz w:val="14"/>
        <w:lang w:val="fr-CH"/>
      </w:rPr>
      <w:t>Chemin Eugène-</w:t>
    </w:r>
    <w:proofErr w:type="spellStart"/>
    <w:r w:rsidRPr="005F7F35">
      <w:rPr>
        <w:rFonts w:ascii="Verdana" w:hAnsi="Verdana"/>
        <w:sz w:val="14"/>
        <w:lang w:val="fr-CH"/>
      </w:rPr>
      <w:t>Rigot</w:t>
    </w:r>
    <w:proofErr w:type="spellEnd"/>
    <w:r w:rsidRPr="005F7F35">
      <w:rPr>
        <w:rFonts w:ascii="Verdana" w:hAnsi="Verdana"/>
        <w:sz w:val="14"/>
        <w:lang w:val="fr-CH"/>
      </w:rPr>
      <w:t xml:space="preserve"> </w:t>
    </w:r>
    <w:proofErr w:type="spellStart"/>
    <w:r w:rsidRPr="005F7F35">
      <w:rPr>
        <w:rFonts w:ascii="Verdana" w:hAnsi="Verdana"/>
        <w:sz w:val="14"/>
        <w:lang w:val="fr-CH"/>
      </w:rPr>
      <w:t>2C</w:t>
    </w:r>
    <w:proofErr w:type="spellEnd"/>
    <w:r w:rsidRPr="005F7F35">
      <w:rPr>
        <w:rFonts w:ascii="Verdana" w:hAnsi="Verdana"/>
        <w:sz w:val="14"/>
        <w:lang w:val="fr-CH"/>
      </w:rPr>
      <w:t xml:space="preserve">  |  </w:t>
    </w:r>
    <w:proofErr w:type="spellStart"/>
    <w:r w:rsidRPr="005F7F35">
      <w:rPr>
        <w:rFonts w:ascii="Verdana" w:hAnsi="Verdana"/>
        <w:sz w:val="14"/>
        <w:lang w:val="fr-CH"/>
      </w:rPr>
      <w:t>P.O</w:t>
    </w:r>
    <w:proofErr w:type="spellEnd"/>
    <w:r w:rsidRPr="005F7F35">
      <w:rPr>
        <w:rFonts w:ascii="Verdana" w:hAnsi="Verdana"/>
        <w:sz w:val="14"/>
        <w:lang w:val="fr-CH"/>
      </w:rPr>
      <w:t>. Box 1300  |  1211 Geneva 1  |  Switzerland  |  t. + 41 (0)22 730 9310</w:t>
    </w:r>
  </w:p>
  <w:p w:rsidR="005F7F35" w:rsidRPr="005F7F35" w:rsidRDefault="005F7F35" w:rsidP="005F7F35">
    <w:pPr>
      <w:spacing w:line="360" w:lineRule="auto"/>
      <w:ind w:left="1134"/>
      <w:jc w:val="right"/>
      <w:rPr>
        <w:rFonts w:ascii="Verdana" w:hAnsi="Verdana"/>
        <w:sz w:val="14"/>
        <w:lang w:val="fr-CH"/>
      </w:rPr>
    </w:pPr>
    <w:r w:rsidRPr="005F7F35">
      <w:rPr>
        <w:rFonts w:ascii="Verdana" w:hAnsi="Verdana"/>
        <w:sz w:val="14"/>
        <w:lang w:val="fr-CH"/>
      </w:rPr>
      <w:t xml:space="preserve">f. + 41 (0)22 730 93 62  |  isu@apminebanconvention.org |  </w:t>
    </w:r>
    <w:r w:rsidRPr="005F7F35">
      <w:rPr>
        <w:rFonts w:ascii="Verdana" w:hAnsi="Verdana"/>
        <w:b/>
        <w:color w:val="007D7D"/>
        <w:sz w:val="14"/>
        <w:lang w:val="fr-CH"/>
      </w:rPr>
      <w:t>www.apminebanconvention.org</w:t>
    </w:r>
  </w:p>
  <w:p w:rsidR="00E93555" w:rsidRPr="00726AE9" w:rsidRDefault="00E93555">
    <w:pPr>
      <w:pStyle w:val="Footer"/>
      <w:rPr>
        <w:sz w:val="2"/>
        <w:szCs w:val="2"/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555" w:rsidRDefault="00E93555">
      <w:r>
        <w:separator/>
      </w:r>
    </w:p>
  </w:footnote>
  <w:footnote w:type="continuationSeparator" w:id="0">
    <w:p w:rsidR="00E93555" w:rsidRDefault="00E9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555" w:rsidRDefault="00E93555" w:rsidP="004A34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3555" w:rsidRDefault="00E935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555" w:rsidRPr="009E5AF3" w:rsidRDefault="00E93555" w:rsidP="004A34B8">
    <w:pPr>
      <w:pStyle w:val="Header"/>
      <w:framePr w:wrap="around" w:vAnchor="text" w:hAnchor="margin" w:xAlign="center" w:y="1"/>
      <w:rPr>
        <w:rStyle w:val="PageNumber"/>
        <w:rFonts w:ascii="Calibri" w:hAnsi="Calibri"/>
        <w:sz w:val="22"/>
        <w:szCs w:val="22"/>
      </w:rPr>
    </w:pPr>
    <w:r w:rsidRPr="009E5AF3">
      <w:rPr>
        <w:rStyle w:val="PageNumber"/>
        <w:rFonts w:ascii="Calibri" w:hAnsi="Calibri"/>
        <w:sz w:val="22"/>
        <w:szCs w:val="22"/>
      </w:rPr>
      <w:fldChar w:fldCharType="begin"/>
    </w:r>
    <w:r w:rsidRPr="009E5AF3">
      <w:rPr>
        <w:rStyle w:val="PageNumber"/>
        <w:rFonts w:ascii="Calibri" w:hAnsi="Calibri"/>
        <w:sz w:val="22"/>
        <w:szCs w:val="22"/>
      </w:rPr>
      <w:instrText xml:space="preserve">PAGE  </w:instrText>
    </w:r>
    <w:r w:rsidRPr="009E5AF3">
      <w:rPr>
        <w:rStyle w:val="PageNumber"/>
        <w:rFonts w:ascii="Calibri" w:hAnsi="Calibri"/>
        <w:sz w:val="22"/>
        <w:szCs w:val="22"/>
      </w:rPr>
      <w:fldChar w:fldCharType="separate"/>
    </w:r>
    <w:r w:rsidR="001419A5">
      <w:rPr>
        <w:rStyle w:val="PageNumber"/>
        <w:rFonts w:ascii="Calibri" w:hAnsi="Calibri"/>
        <w:noProof/>
        <w:sz w:val="22"/>
        <w:szCs w:val="22"/>
      </w:rPr>
      <w:t>- 2 -</w:t>
    </w:r>
    <w:r w:rsidRPr="009E5AF3">
      <w:rPr>
        <w:rStyle w:val="PageNumber"/>
        <w:rFonts w:ascii="Calibri" w:hAnsi="Calibri"/>
        <w:sz w:val="22"/>
        <w:szCs w:val="22"/>
      </w:rPr>
      <w:fldChar w:fldCharType="end"/>
    </w:r>
  </w:p>
  <w:p w:rsidR="00E93555" w:rsidRPr="001E39E2" w:rsidRDefault="00E93555" w:rsidP="004A34B8">
    <w:pPr>
      <w:pStyle w:val="Header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38"/>
      <w:gridCol w:w="1905"/>
    </w:tblGrid>
    <w:tr w:rsidR="00352DB9" w:rsidTr="00D8776B">
      <w:tc>
        <w:tcPr>
          <w:tcW w:w="7338" w:type="dxa"/>
          <w:vAlign w:val="center"/>
        </w:tcPr>
        <w:p w:rsidR="00352DB9" w:rsidRPr="00352DB9" w:rsidRDefault="00352DB9" w:rsidP="00352DB9">
          <w:pPr>
            <w:pStyle w:val="Header"/>
            <w:rPr>
              <w:color w:val="007D7D"/>
              <w:sz w:val="96"/>
              <w:szCs w:val="96"/>
            </w:rPr>
          </w:pPr>
        </w:p>
      </w:tc>
      <w:tc>
        <w:tcPr>
          <w:tcW w:w="1905" w:type="dxa"/>
        </w:tcPr>
        <w:p w:rsidR="00352DB9" w:rsidRDefault="00352DB9" w:rsidP="00D8776B">
          <w:pPr>
            <w:pStyle w:val="Header"/>
            <w:jc w:val="right"/>
          </w:pPr>
          <w:r>
            <w:rPr>
              <w:rFonts w:ascii="Calibri" w:hAnsi="Calibri"/>
              <w:noProof/>
              <w:sz w:val="22"/>
              <w:szCs w:val="22"/>
              <w:lang w:val="fr-CH" w:eastAsia="fr-CH"/>
            </w:rPr>
            <w:drawing>
              <wp:inline distT="0" distB="0" distL="0" distR="0" wp14:anchorId="06ECA2D0" wp14:editId="3F2EACC0">
                <wp:extent cx="1121410" cy="1121410"/>
                <wp:effectExtent l="0" t="0" r="2540" b="2540"/>
                <wp:docPr id="4" name="Picture 0" descr="APMBC Logo ENG - for docum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APMBC Logo ENG - for docum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3555" w:rsidRDefault="00E93555" w:rsidP="004A34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B93"/>
    <w:multiLevelType w:val="hybridMultilevel"/>
    <w:tmpl w:val="B36E0874"/>
    <w:lvl w:ilvl="0" w:tplc="10FE6240">
      <w:start w:val="1"/>
      <w:numFmt w:val="lowerLetter"/>
      <w:lvlText w:val="%1."/>
      <w:lvlJc w:val="left"/>
      <w:pPr>
        <w:ind w:left="720" w:hanging="360"/>
      </w:pPr>
      <w:rPr>
        <w:rFonts w:ascii="Calibri" w:hAnsi="Calibri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A37FD"/>
    <w:multiLevelType w:val="hybridMultilevel"/>
    <w:tmpl w:val="350EC8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B1FBB"/>
    <w:multiLevelType w:val="hybridMultilevel"/>
    <w:tmpl w:val="491051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3422C8"/>
    <w:multiLevelType w:val="hybridMultilevel"/>
    <w:tmpl w:val="03CE3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4">
    <w:nsid w:val="2DC87C9D"/>
    <w:multiLevelType w:val="hybridMultilevel"/>
    <w:tmpl w:val="8E5E414C"/>
    <w:lvl w:ilvl="0" w:tplc="0DCA7D2C">
      <w:start w:val="1"/>
      <w:numFmt w:val="decimal"/>
      <w:lvlText w:val="%1."/>
      <w:lvlJc w:val="left"/>
      <w:pPr>
        <w:ind w:left="360" w:hanging="360"/>
      </w:pPr>
      <w:rPr>
        <w:rFonts w:ascii="Calibri" w:hAnsi="Calibri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C362E"/>
    <w:multiLevelType w:val="hybridMultilevel"/>
    <w:tmpl w:val="665E9F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5B311A"/>
    <w:multiLevelType w:val="hybridMultilevel"/>
    <w:tmpl w:val="9DE631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2A2DAC"/>
    <w:multiLevelType w:val="hybridMultilevel"/>
    <w:tmpl w:val="C50E4B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418159E"/>
    <w:multiLevelType w:val="hybridMultilevel"/>
    <w:tmpl w:val="29AC3A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A3A89"/>
    <w:multiLevelType w:val="hybridMultilevel"/>
    <w:tmpl w:val="C0AC04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43FEC"/>
    <w:multiLevelType w:val="hybridMultilevel"/>
    <w:tmpl w:val="1C3EC504"/>
    <w:lvl w:ilvl="0" w:tplc="98B6288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E185A"/>
    <w:multiLevelType w:val="hybridMultilevel"/>
    <w:tmpl w:val="E488B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CFF6F5D"/>
    <w:multiLevelType w:val="hybridMultilevel"/>
    <w:tmpl w:val="218EB16A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C036B5"/>
    <w:multiLevelType w:val="hybridMultilevel"/>
    <w:tmpl w:val="13B20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666760"/>
    <w:multiLevelType w:val="hybridMultilevel"/>
    <w:tmpl w:val="ECDEAC14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E439C2"/>
    <w:multiLevelType w:val="hybridMultilevel"/>
    <w:tmpl w:val="0E1CBE6C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3303DE"/>
    <w:multiLevelType w:val="hybridMultilevel"/>
    <w:tmpl w:val="1C901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3C84DC0"/>
    <w:multiLevelType w:val="hybridMultilevel"/>
    <w:tmpl w:val="17D237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9913291"/>
    <w:multiLevelType w:val="hybridMultilevel"/>
    <w:tmpl w:val="676632B4"/>
    <w:lvl w:ilvl="0" w:tplc="744044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481F57"/>
    <w:multiLevelType w:val="hybridMultilevel"/>
    <w:tmpl w:val="1F567300"/>
    <w:lvl w:ilvl="0" w:tplc="2C0C25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4839B3"/>
    <w:multiLevelType w:val="hybridMultilevel"/>
    <w:tmpl w:val="07302D26"/>
    <w:lvl w:ilvl="0" w:tplc="A71EC556">
      <w:start w:val="2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A91DF3"/>
    <w:multiLevelType w:val="hybridMultilevel"/>
    <w:tmpl w:val="2ECA66D2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19"/>
  </w:num>
  <w:num w:numId="5">
    <w:abstractNumId w:val="7"/>
  </w:num>
  <w:num w:numId="6">
    <w:abstractNumId w:val="13"/>
  </w:num>
  <w:num w:numId="7">
    <w:abstractNumId w:val="1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0"/>
  </w:num>
  <w:num w:numId="13">
    <w:abstractNumId w:val="5"/>
  </w:num>
  <w:num w:numId="14">
    <w:abstractNumId w:val="8"/>
  </w:num>
  <w:num w:numId="15">
    <w:abstractNumId w:val="20"/>
  </w:num>
  <w:num w:numId="16">
    <w:abstractNumId w:val="9"/>
  </w:num>
  <w:num w:numId="17">
    <w:abstractNumId w:val="1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0"/>
  </w:num>
  <w:num w:numId="21">
    <w:abstractNumId w:val="14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1E"/>
    <w:rsid w:val="000562C4"/>
    <w:rsid w:val="000B2679"/>
    <w:rsid w:val="000E623A"/>
    <w:rsid w:val="000F0814"/>
    <w:rsid w:val="00133F95"/>
    <w:rsid w:val="001419A5"/>
    <w:rsid w:val="00165F54"/>
    <w:rsid w:val="001878DE"/>
    <w:rsid w:val="001A5505"/>
    <w:rsid w:val="001D4302"/>
    <w:rsid w:val="001E5303"/>
    <w:rsid w:val="00212BD5"/>
    <w:rsid w:val="00241E61"/>
    <w:rsid w:val="002443DD"/>
    <w:rsid w:val="00257D64"/>
    <w:rsid w:val="002952EC"/>
    <w:rsid w:val="002A1E60"/>
    <w:rsid w:val="002D0FA4"/>
    <w:rsid w:val="002F7A07"/>
    <w:rsid w:val="003009A7"/>
    <w:rsid w:val="00352DB9"/>
    <w:rsid w:val="00371401"/>
    <w:rsid w:val="003D17CC"/>
    <w:rsid w:val="003E1A7E"/>
    <w:rsid w:val="003E3AF2"/>
    <w:rsid w:val="00416304"/>
    <w:rsid w:val="004956C7"/>
    <w:rsid w:val="004A34B8"/>
    <w:rsid w:val="004C530C"/>
    <w:rsid w:val="00577FE8"/>
    <w:rsid w:val="00584A63"/>
    <w:rsid w:val="005B6C9E"/>
    <w:rsid w:val="005F7F35"/>
    <w:rsid w:val="00675C5C"/>
    <w:rsid w:val="006A7FA2"/>
    <w:rsid w:val="006B141B"/>
    <w:rsid w:val="006E4F62"/>
    <w:rsid w:val="0070033F"/>
    <w:rsid w:val="00781B85"/>
    <w:rsid w:val="007B768F"/>
    <w:rsid w:val="007E0F8D"/>
    <w:rsid w:val="007F221E"/>
    <w:rsid w:val="00800EB3"/>
    <w:rsid w:val="008210A4"/>
    <w:rsid w:val="008508DA"/>
    <w:rsid w:val="00870794"/>
    <w:rsid w:val="00881736"/>
    <w:rsid w:val="008D3FF7"/>
    <w:rsid w:val="00965064"/>
    <w:rsid w:val="00970DE2"/>
    <w:rsid w:val="00977E0F"/>
    <w:rsid w:val="00A73A60"/>
    <w:rsid w:val="00A8728E"/>
    <w:rsid w:val="00A963DD"/>
    <w:rsid w:val="00AC7737"/>
    <w:rsid w:val="00BF7582"/>
    <w:rsid w:val="00C06DDE"/>
    <w:rsid w:val="00C16AA9"/>
    <w:rsid w:val="00C33C3C"/>
    <w:rsid w:val="00D07046"/>
    <w:rsid w:val="00D22594"/>
    <w:rsid w:val="00D40643"/>
    <w:rsid w:val="00DE11D1"/>
    <w:rsid w:val="00E461F1"/>
    <w:rsid w:val="00E5153B"/>
    <w:rsid w:val="00E71816"/>
    <w:rsid w:val="00E85827"/>
    <w:rsid w:val="00E92B01"/>
    <w:rsid w:val="00E93555"/>
    <w:rsid w:val="00EB5408"/>
    <w:rsid w:val="00EC2F48"/>
    <w:rsid w:val="00F00E55"/>
    <w:rsid w:val="00F15EAC"/>
    <w:rsid w:val="00FA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18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21A8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7BF6"/>
    <w:rPr>
      <w:rFonts w:ascii="Tahoma" w:hAnsi="Tahoma"/>
      <w:sz w:val="16"/>
      <w:szCs w:val="16"/>
    </w:rPr>
  </w:style>
  <w:style w:type="paragraph" w:styleId="Header">
    <w:name w:val="header"/>
    <w:basedOn w:val="Normal"/>
    <w:rsid w:val="001E39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9E2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8F5DC1"/>
    <w:pPr>
      <w:jc w:val="both"/>
    </w:pPr>
    <w:rPr>
      <w:lang w:val="en-AU"/>
    </w:rPr>
  </w:style>
  <w:style w:type="character" w:styleId="Hyperlink">
    <w:name w:val="Hyperlink"/>
    <w:basedOn w:val="DefaultParagraphFont"/>
    <w:rsid w:val="00F971E1"/>
    <w:rPr>
      <w:color w:val="0000FF"/>
      <w:u w:val="single"/>
    </w:rPr>
  </w:style>
  <w:style w:type="character" w:styleId="PageNumber">
    <w:name w:val="page number"/>
    <w:basedOn w:val="DefaultParagraphFont"/>
    <w:rsid w:val="00862696"/>
  </w:style>
  <w:style w:type="paragraph" w:customStyle="1" w:styleId="Default">
    <w:name w:val="Default"/>
    <w:rsid w:val="000B00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ParagraphFontCharCharCharCharCharCharCharCharCharCharCharChar">
    <w:name w:val="Default Paragraph Font Char Char Char Char Char Char Char Char Char Char Char Char"/>
    <w:aliases w:val="Default Paragraph Font Para Char Char Char Char Char Char Char Char Char Char Char Char Char Char Char"/>
    <w:basedOn w:val="Normal"/>
    <w:rsid w:val="006B7DE9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81310"/>
    <w:rPr>
      <w:b/>
      <w:bCs/>
    </w:rPr>
  </w:style>
  <w:style w:type="paragraph" w:styleId="ListParagraph">
    <w:name w:val="List Paragraph"/>
    <w:basedOn w:val="Normal"/>
    <w:uiPriority w:val="34"/>
    <w:qFormat/>
    <w:rsid w:val="009E5AF3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C9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FE781C"/>
    <w:rPr>
      <w:sz w:val="18"/>
    </w:rPr>
  </w:style>
  <w:style w:type="paragraph" w:styleId="CommentText">
    <w:name w:val="annotation text"/>
    <w:basedOn w:val="Normal"/>
    <w:semiHidden/>
    <w:rsid w:val="00FE781C"/>
  </w:style>
  <w:style w:type="paragraph" w:styleId="CommentSubject">
    <w:name w:val="annotation subject"/>
    <w:basedOn w:val="CommentText"/>
    <w:next w:val="CommentText"/>
    <w:semiHidden/>
    <w:rsid w:val="00FE7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18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21A8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7BF6"/>
    <w:rPr>
      <w:rFonts w:ascii="Tahoma" w:hAnsi="Tahoma"/>
      <w:sz w:val="16"/>
      <w:szCs w:val="16"/>
    </w:rPr>
  </w:style>
  <w:style w:type="paragraph" w:styleId="Header">
    <w:name w:val="header"/>
    <w:basedOn w:val="Normal"/>
    <w:rsid w:val="001E39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9E2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8F5DC1"/>
    <w:pPr>
      <w:jc w:val="both"/>
    </w:pPr>
    <w:rPr>
      <w:lang w:val="en-AU"/>
    </w:rPr>
  </w:style>
  <w:style w:type="character" w:styleId="Hyperlink">
    <w:name w:val="Hyperlink"/>
    <w:basedOn w:val="DefaultParagraphFont"/>
    <w:rsid w:val="00F971E1"/>
    <w:rPr>
      <w:color w:val="0000FF"/>
      <w:u w:val="single"/>
    </w:rPr>
  </w:style>
  <w:style w:type="character" w:styleId="PageNumber">
    <w:name w:val="page number"/>
    <w:basedOn w:val="DefaultParagraphFont"/>
    <w:rsid w:val="00862696"/>
  </w:style>
  <w:style w:type="paragraph" w:customStyle="1" w:styleId="Default">
    <w:name w:val="Default"/>
    <w:rsid w:val="000B00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ParagraphFontCharCharCharCharCharCharCharCharCharCharCharChar">
    <w:name w:val="Default Paragraph Font Char Char Char Char Char Char Char Char Char Char Char Char"/>
    <w:aliases w:val="Default Paragraph Font Para Char Char Char Char Char Char Char Char Char Char Char Char Char Char Char"/>
    <w:basedOn w:val="Normal"/>
    <w:rsid w:val="006B7DE9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81310"/>
    <w:rPr>
      <w:b/>
      <w:bCs/>
    </w:rPr>
  </w:style>
  <w:style w:type="paragraph" w:styleId="ListParagraph">
    <w:name w:val="List Paragraph"/>
    <w:basedOn w:val="Normal"/>
    <w:uiPriority w:val="34"/>
    <w:qFormat/>
    <w:rsid w:val="009E5AF3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C9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FE781C"/>
    <w:rPr>
      <w:sz w:val="18"/>
    </w:rPr>
  </w:style>
  <w:style w:type="paragraph" w:styleId="CommentText">
    <w:name w:val="annotation text"/>
    <w:basedOn w:val="Normal"/>
    <w:semiHidden/>
    <w:rsid w:val="00FE781C"/>
  </w:style>
  <w:style w:type="paragraph" w:styleId="CommentSubject">
    <w:name w:val="annotation subject"/>
    <w:basedOn w:val="CommentText"/>
    <w:next w:val="CommentText"/>
    <w:semiHidden/>
    <w:rsid w:val="00FE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mcdermott@apminebanconvention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5382CCAD</Template>
  <TotalTime>0</TotalTime>
  <Pages>2</Pages>
  <Words>461</Words>
  <Characters>2662</Characters>
  <Application>Microsoft Office Word</Application>
  <DocSecurity>4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Distinguished colleagues, dear friends,</vt:lpstr>
    </vt:vector>
  </TitlesOfParts>
  <Company>Maison de la paix</Company>
  <LinksUpToDate>false</LinksUpToDate>
  <CharactersWithSpaces>3095</CharactersWithSpaces>
  <SharedDoc>false</SharedDoc>
  <HLinks>
    <vt:vector size="30" baseType="variant">
      <vt:variant>
        <vt:i4>1638419</vt:i4>
      </vt:variant>
      <vt:variant>
        <vt:i4>12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!/MineBanTreaty</vt:lpwstr>
      </vt:variant>
      <vt:variant>
        <vt:i4>5308451</vt:i4>
      </vt:variant>
      <vt:variant>
        <vt:i4>9</vt:i4>
      </vt:variant>
      <vt:variant>
        <vt:i4>0</vt:i4>
      </vt:variant>
      <vt:variant>
        <vt:i4>5</vt:i4>
      </vt:variant>
      <vt:variant>
        <vt:lpwstr>http://www.flickr.com/photos/47843173@N02/collections/</vt:lpwstr>
      </vt:variant>
      <vt:variant>
        <vt:lpwstr/>
      </vt:variant>
      <vt:variant>
        <vt:i4>1245273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http://www.facebook.com/pages/Anti-Personnel-Mine-Ban-Convention/126412277393045</vt:lpwstr>
      </vt:variant>
      <vt:variant>
        <vt:lpwstr/>
      </vt:variant>
      <vt:variant>
        <vt:i4>3997755</vt:i4>
      </vt:variant>
      <vt:variant>
        <vt:i4>3</vt:i4>
      </vt:variant>
      <vt:variant>
        <vt:i4>0</vt:i4>
      </vt:variant>
      <vt:variant>
        <vt:i4>5</vt:i4>
      </vt:variant>
      <vt:variant>
        <vt:lpwstr>http://apminebanconvention.org/</vt:lpwstr>
      </vt:variant>
      <vt:variant>
        <vt:lpwstr/>
      </vt:variant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mailto:Press@APMineBanConvention.org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Distinguished colleagues, dear friends,</dc:title>
  <dc:creator>brinkk</dc:creator>
  <cp:lastModifiedBy>Rodriguez Laila</cp:lastModifiedBy>
  <cp:revision>2</cp:revision>
  <cp:lastPrinted>2014-09-05T12:55:00Z</cp:lastPrinted>
  <dcterms:created xsi:type="dcterms:W3CDTF">2014-09-08T08:36:00Z</dcterms:created>
  <dcterms:modified xsi:type="dcterms:W3CDTF">2014-09-08T08:36:00Z</dcterms:modified>
</cp:coreProperties>
</file>